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AE5BE0" w14:paraId="78E1F1FA" w14:textId="77777777" w:rsidTr="000C45ED">
        <w:trPr>
          <w:trHeight w:val="441"/>
        </w:trPr>
        <w:tc>
          <w:tcPr>
            <w:tcW w:w="10790" w:type="dxa"/>
            <w:shd w:val="clear" w:color="auto" w:fill="54B948"/>
            <w:tcMar>
              <w:left w:w="259" w:type="dxa"/>
              <w:right w:w="115" w:type="dxa"/>
            </w:tcMar>
            <w:vAlign w:val="center"/>
          </w:tcPr>
          <w:p w14:paraId="5D614D5E" w14:textId="70E842F2" w:rsidR="00AE5BE0" w:rsidRDefault="00AE5BE0" w:rsidP="00AE2DB7">
            <w:pPr>
              <w:pStyle w:val="ChartHeading"/>
              <w:rPr>
                <w:sz w:val="13"/>
                <w:szCs w:val="13"/>
              </w:rPr>
            </w:pPr>
            <w:r w:rsidRPr="009B6806">
              <w:rPr>
                <w:rFonts w:eastAsia="Verdana" w:cs="Verdana"/>
                <w:color w:val="FFFFFF"/>
                <w:lang w:val="fr-CA"/>
              </w:rPr>
              <w:t>À propos de cette leçon</w:t>
            </w:r>
          </w:p>
        </w:tc>
      </w:tr>
      <w:tr w:rsidR="00AE5BE0" w14:paraId="7EFBE78B" w14:textId="77777777" w:rsidTr="00AE5BE0">
        <w:trPr>
          <w:trHeight w:val="1296"/>
        </w:trPr>
        <w:tc>
          <w:tcPr>
            <w:tcW w:w="10790" w:type="dxa"/>
            <w:shd w:val="clear" w:color="auto" w:fill="E6F5E4"/>
            <w:tcMar>
              <w:left w:w="259" w:type="dxa"/>
              <w:right w:w="259" w:type="dxa"/>
            </w:tcMar>
            <w:vAlign w:val="center"/>
          </w:tcPr>
          <w:p w14:paraId="0F0CF411" w14:textId="1F7E8A10" w:rsidR="00AE5BE0" w:rsidRPr="00800B7C" w:rsidRDefault="00AE5BE0" w:rsidP="00AE5BE0">
            <w:pPr>
              <w:pStyle w:val="Copy"/>
            </w:pPr>
            <w:proofErr w:type="spellStart"/>
            <w:r w:rsidRPr="009B6806">
              <w:t>Dans</w:t>
            </w:r>
            <w:proofErr w:type="spellEnd"/>
            <w:r w:rsidRPr="009B6806">
              <w:t xml:space="preserve"> </w:t>
            </w:r>
            <w:proofErr w:type="spellStart"/>
            <w:r w:rsidRPr="009B6806">
              <w:t>cette</w:t>
            </w:r>
            <w:proofErr w:type="spellEnd"/>
            <w:r w:rsidRPr="009B6806">
              <w:t xml:space="preserve"> </w:t>
            </w:r>
            <w:proofErr w:type="spellStart"/>
            <w:r w:rsidRPr="009B6806">
              <w:t>leçon</w:t>
            </w:r>
            <w:proofErr w:type="spellEnd"/>
            <w:r w:rsidRPr="009B6806">
              <w:t xml:space="preserve">, les </w:t>
            </w:r>
            <w:proofErr w:type="spellStart"/>
            <w:r>
              <w:t>élèves</w:t>
            </w:r>
            <w:proofErr w:type="spellEnd"/>
            <w:r w:rsidRPr="009B6806">
              <w:t xml:space="preserve"> </w:t>
            </w:r>
            <w:proofErr w:type="spellStart"/>
            <w:r w:rsidRPr="009B6806">
              <w:t>examineront</w:t>
            </w:r>
            <w:proofErr w:type="spellEnd"/>
            <w:r w:rsidRPr="009B6806">
              <w:t xml:space="preserve"> les </w:t>
            </w:r>
            <w:proofErr w:type="spellStart"/>
            <w:r w:rsidRPr="009B6806">
              <w:t>rendements</w:t>
            </w:r>
            <w:proofErr w:type="spellEnd"/>
            <w:r w:rsidRPr="009B6806">
              <w:t xml:space="preserve"> des </w:t>
            </w:r>
            <w:proofErr w:type="spellStart"/>
            <w:r w:rsidRPr="009B6806">
              <w:t>différents</w:t>
            </w:r>
            <w:proofErr w:type="spellEnd"/>
            <w:r w:rsidRPr="009B6806">
              <w:t xml:space="preserve"> styles </w:t>
            </w:r>
            <w:proofErr w:type="spellStart"/>
            <w:r w:rsidRPr="009B6806">
              <w:t>d</w:t>
            </w:r>
            <w:r>
              <w:t>’</w:t>
            </w:r>
            <w:r w:rsidRPr="009B6806">
              <w:t>épargne</w:t>
            </w:r>
            <w:proofErr w:type="spellEnd"/>
            <w:r w:rsidRPr="009B6806">
              <w:t xml:space="preserve">, des actions des </w:t>
            </w:r>
            <w:proofErr w:type="spellStart"/>
            <w:r w:rsidRPr="009B6806">
              <w:t>entreprises</w:t>
            </w:r>
            <w:proofErr w:type="spellEnd"/>
            <w:r w:rsidRPr="009B6806">
              <w:t xml:space="preserve"> et des </w:t>
            </w:r>
            <w:proofErr w:type="spellStart"/>
            <w:r w:rsidRPr="009B6806">
              <w:t>comptes</w:t>
            </w:r>
            <w:proofErr w:type="spellEnd"/>
            <w:r w:rsidRPr="009B6806">
              <w:t xml:space="preserve"> </w:t>
            </w:r>
            <w:proofErr w:type="spellStart"/>
            <w:r w:rsidRPr="009B6806">
              <w:t>bancaires</w:t>
            </w:r>
            <w:proofErr w:type="spellEnd"/>
            <w:r w:rsidRPr="009B6806">
              <w:t xml:space="preserve"> </w:t>
            </w:r>
            <w:proofErr w:type="spellStart"/>
            <w:r w:rsidRPr="009B6806">
              <w:t>réguliers</w:t>
            </w:r>
            <w:proofErr w:type="spellEnd"/>
            <w:r w:rsidRPr="009B6806">
              <w:t xml:space="preserve"> (</w:t>
            </w:r>
            <w:proofErr w:type="spellStart"/>
            <w:r w:rsidRPr="009B6806">
              <w:t>ou</w:t>
            </w:r>
            <w:proofErr w:type="spellEnd"/>
            <w:r w:rsidRPr="009B6806">
              <w:t xml:space="preserve"> des CPG) et </w:t>
            </w:r>
            <w:proofErr w:type="spellStart"/>
            <w:r w:rsidRPr="009B6806">
              <w:t>détermineront</w:t>
            </w:r>
            <w:proofErr w:type="spellEnd"/>
            <w:r w:rsidRPr="009B6806">
              <w:t xml:space="preserve"> le type </w:t>
            </w:r>
            <w:proofErr w:type="spellStart"/>
            <w:r w:rsidRPr="009B6806">
              <w:t>d</w:t>
            </w:r>
            <w:r>
              <w:t>’</w:t>
            </w:r>
            <w:r w:rsidRPr="009B6806">
              <w:t>épargne</w:t>
            </w:r>
            <w:proofErr w:type="spellEnd"/>
            <w:r w:rsidRPr="009B6806">
              <w:t xml:space="preserve"> </w:t>
            </w:r>
            <w:proofErr w:type="spellStart"/>
            <w:r w:rsidRPr="009B6806">
              <w:t>qu</w:t>
            </w:r>
            <w:r>
              <w:t>’</w:t>
            </w:r>
            <w:r w:rsidRPr="009B6806">
              <w:t>ils</w:t>
            </w:r>
            <w:proofErr w:type="spellEnd"/>
            <w:r w:rsidRPr="009B6806">
              <w:t xml:space="preserve"> </w:t>
            </w:r>
            <w:proofErr w:type="spellStart"/>
            <w:r w:rsidRPr="009B6806">
              <w:t>préfèrent</w:t>
            </w:r>
            <w:proofErr w:type="spellEnd"/>
            <w:r w:rsidRPr="009B6806">
              <w:t xml:space="preserve"> </w:t>
            </w:r>
            <w:proofErr w:type="spellStart"/>
            <w:r w:rsidRPr="009B6806">
              <w:t>utiliser</w:t>
            </w:r>
            <w:proofErr w:type="spellEnd"/>
            <w:r w:rsidRPr="009B6806">
              <w:t>.</w:t>
            </w:r>
          </w:p>
        </w:tc>
      </w:tr>
    </w:tbl>
    <w:p w14:paraId="20EEC89E" w14:textId="77777777" w:rsidR="00E910FA" w:rsidRDefault="00E910FA" w:rsidP="00E80C32">
      <w:pPr>
        <w:pStyle w:val="SpaceBetween"/>
      </w:pPr>
    </w:p>
    <w:tbl>
      <w:tblPr>
        <w:tblStyle w:val="TableGrid"/>
        <w:tblW w:w="10800" w:type="dxa"/>
        <w:tblInd w:w="-5" w:type="dxa"/>
        <w:tblBorders>
          <w:top w:val="single" w:sz="4" w:space="0" w:color="87CE7F"/>
          <w:left w:val="single" w:sz="4" w:space="0" w:color="87CE7F"/>
          <w:bottom w:val="single" w:sz="4" w:space="0" w:color="87CE7F"/>
          <w:right w:val="single" w:sz="4" w:space="0" w:color="87CE7F"/>
          <w:insideH w:val="none" w:sz="0" w:space="0" w:color="auto"/>
          <w:insideV w:val="none" w:sz="0" w:space="0" w:color="auto"/>
        </w:tblBorders>
        <w:tblCellMar>
          <w:left w:w="259" w:type="dxa"/>
          <w:right w:w="115" w:type="dxa"/>
        </w:tblCellMar>
        <w:tblLook w:val="04A0" w:firstRow="1" w:lastRow="0" w:firstColumn="1" w:lastColumn="0" w:noHBand="0" w:noVBand="1"/>
      </w:tblPr>
      <w:tblGrid>
        <w:gridCol w:w="1432"/>
        <w:gridCol w:w="3765"/>
        <w:gridCol w:w="4103"/>
        <w:gridCol w:w="1500"/>
      </w:tblGrid>
      <w:tr w:rsidR="00AE5BE0" w14:paraId="625608EB" w14:textId="77777777" w:rsidTr="0030440C">
        <w:trPr>
          <w:trHeight w:val="720"/>
        </w:trPr>
        <w:tc>
          <w:tcPr>
            <w:tcW w:w="1432" w:type="dxa"/>
            <w:tcBorders>
              <w:top w:val="nil"/>
              <w:bottom w:val="nil"/>
              <w:right w:val="single" w:sz="8" w:space="0" w:color="FFFFFF" w:themeColor="background1"/>
            </w:tcBorders>
            <w:shd w:val="clear" w:color="auto" w:fill="54B948"/>
            <w:tcMar>
              <w:left w:w="115" w:type="dxa"/>
            </w:tcMar>
            <w:vAlign w:val="center"/>
          </w:tcPr>
          <w:p w14:paraId="03931877" w14:textId="0A0E81E0" w:rsidR="00AE5BE0" w:rsidRPr="00030CB4" w:rsidRDefault="00AE5BE0" w:rsidP="00AB3B08">
            <w:pPr>
              <w:jc w:val="center"/>
              <w:rPr>
                <w:rFonts w:ascii="Verdana" w:hAnsi="Verdana" w:cs="Arial"/>
                <w:b/>
                <w:color w:val="FFFFFF" w:themeColor="background1"/>
                <w:sz w:val="20"/>
                <w:szCs w:val="20"/>
              </w:rPr>
            </w:pPr>
            <w:proofErr w:type="spellStart"/>
            <w:r>
              <w:rPr>
                <w:rFonts w:ascii="Verdana" w:hAnsi="Verdana"/>
                <w:b/>
                <w:color w:val="FFFFFF" w:themeColor="background1"/>
                <w:sz w:val="20"/>
              </w:rPr>
              <w:t>Niveau</w:t>
            </w:r>
            <w:proofErr w:type="spellEnd"/>
            <w:r>
              <w:rPr>
                <w:rFonts w:ascii="Verdana" w:hAnsi="Verdana"/>
                <w:b/>
                <w:color w:val="FFFFFF" w:themeColor="background1"/>
                <w:sz w:val="20"/>
              </w:rPr>
              <w:t xml:space="preserve"> </w:t>
            </w:r>
            <w:proofErr w:type="spellStart"/>
            <w:r>
              <w:rPr>
                <w:rFonts w:ascii="Verdana" w:hAnsi="Verdana"/>
                <w:b/>
                <w:color w:val="FFFFFF" w:themeColor="background1"/>
                <w:sz w:val="20"/>
              </w:rPr>
              <w:t>scolaire</w:t>
            </w:r>
            <w:proofErr w:type="spellEnd"/>
          </w:p>
        </w:tc>
        <w:tc>
          <w:tcPr>
            <w:tcW w:w="3765" w:type="dxa"/>
            <w:tcBorders>
              <w:top w:val="nil"/>
              <w:bottom w:val="nil"/>
              <w:right w:val="single" w:sz="8" w:space="0" w:color="FFFFFF" w:themeColor="background1"/>
            </w:tcBorders>
            <w:shd w:val="clear" w:color="auto" w:fill="54B948"/>
            <w:tcMar>
              <w:top w:w="0" w:type="dxa"/>
              <w:left w:w="173" w:type="dxa"/>
            </w:tcMar>
            <w:vAlign w:val="center"/>
          </w:tcPr>
          <w:p w14:paraId="3D1E3026" w14:textId="32BA399C" w:rsidR="00AE5BE0" w:rsidRPr="00030CB4" w:rsidRDefault="00AE5BE0" w:rsidP="009F2541">
            <w:pPr>
              <w:rPr>
                <w:rFonts w:ascii="Verdana" w:hAnsi="Verdana" w:cs="Arial"/>
                <w:b/>
                <w:color w:val="FFFFFF" w:themeColor="background1"/>
                <w:sz w:val="20"/>
                <w:szCs w:val="20"/>
              </w:rPr>
            </w:pPr>
            <w:proofErr w:type="spellStart"/>
            <w:r>
              <w:rPr>
                <w:rFonts w:ascii="Verdana" w:hAnsi="Verdana"/>
                <w:b/>
                <w:color w:val="FFFFFF" w:themeColor="background1"/>
                <w:sz w:val="20"/>
              </w:rPr>
              <w:t>Cours</w:t>
            </w:r>
            <w:proofErr w:type="spellEnd"/>
            <w:r>
              <w:rPr>
                <w:rFonts w:ascii="Verdana" w:hAnsi="Verdana"/>
                <w:b/>
                <w:color w:val="FFFFFF" w:themeColor="background1"/>
                <w:sz w:val="20"/>
              </w:rPr>
              <w:t>/</w:t>
            </w:r>
            <w:proofErr w:type="spellStart"/>
            <w:r>
              <w:rPr>
                <w:rFonts w:ascii="Verdana" w:hAnsi="Verdana"/>
                <w:b/>
                <w:color w:val="FFFFFF" w:themeColor="background1"/>
                <w:sz w:val="20"/>
              </w:rPr>
              <w:t>matières</w:t>
            </w:r>
            <w:proofErr w:type="spellEnd"/>
          </w:p>
        </w:tc>
        <w:tc>
          <w:tcPr>
            <w:tcW w:w="4103" w:type="dxa"/>
            <w:tcBorders>
              <w:top w:val="single" w:sz="8" w:space="0" w:color="54B948"/>
              <w:left w:val="single" w:sz="8" w:space="0" w:color="FFFFFF" w:themeColor="background1"/>
              <w:bottom w:val="nil"/>
            </w:tcBorders>
            <w:shd w:val="clear" w:color="auto" w:fill="54B948"/>
            <w:tcMar>
              <w:top w:w="0" w:type="dxa"/>
              <w:left w:w="173" w:type="dxa"/>
            </w:tcMar>
            <w:vAlign w:val="center"/>
          </w:tcPr>
          <w:p w14:paraId="4A29EE02" w14:textId="2DE3D544" w:rsidR="00AE5BE0" w:rsidRPr="00030CB4" w:rsidRDefault="00AE5BE0" w:rsidP="009F2541">
            <w:pPr>
              <w:rPr>
                <w:rFonts w:ascii="Verdana" w:hAnsi="Verdana" w:cs="Arial"/>
                <w:b/>
                <w:color w:val="FFFFFF" w:themeColor="background1"/>
                <w:sz w:val="20"/>
                <w:szCs w:val="20"/>
              </w:rPr>
            </w:pPr>
            <w:proofErr w:type="spellStart"/>
            <w:r>
              <w:rPr>
                <w:rFonts w:ascii="Verdana" w:hAnsi="Verdana"/>
                <w:b/>
                <w:color w:val="FFFFFF" w:themeColor="background1"/>
                <w:sz w:val="20"/>
              </w:rPr>
              <w:t>Objectif</w:t>
            </w:r>
            <w:proofErr w:type="spellEnd"/>
            <w:r>
              <w:rPr>
                <w:rFonts w:ascii="Verdana" w:hAnsi="Verdana"/>
                <w:b/>
                <w:color w:val="FFFFFF" w:themeColor="background1"/>
                <w:sz w:val="20"/>
              </w:rPr>
              <w:t xml:space="preserve"> </w:t>
            </w:r>
            <w:proofErr w:type="spellStart"/>
            <w:r>
              <w:rPr>
                <w:rFonts w:ascii="Verdana" w:hAnsi="Verdana"/>
                <w:b/>
                <w:color w:val="FFFFFF" w:themeColor="background1"/>
                <w:sz w:val="20"/>
              </w:rPr>
              <w:t>d’apprentissage</w:t>
            </w:r>
            <w:proofErr w:type="spellEnd"/>
          </w:p>
        </w:tc>
        <w:tc>
          <w:tcPr>
            <w:tcW w:w="1500" w:type="dxa"/>
            <w:tcBorders>
              <w:top w:val="nil"/>
              <w:left w:val="single" w:sz="8" w:space="0" w:color="FFFFFF" w:themeColor="background1"/>
              <w:bottom w:val="nil"/>
              <w:right w:val="single" w:sz="8" w:space="0" w:color="FFFFFF" w:themeColor="background1"/>
            </w:tcBorders>
            <w:shd w:val="clear" w:color="auto" w:fill="54B948"/>
            <w:tcMar>
              <w:left w:w="115" w:type="dxa"/>
            </w:tcMar>
            <w:vAlign w:val="center"/>
          </w:tcPr>
          <w:p w14:paraId="01F4E9A4" w14:textId="77777777" w:rsidR="00AE5BE0" w:rsidRPr="00030CB4" w:rsidRDefault="00AE5BE0" w:rsidP="00B767A8">
            <w:pPr>
              <w:jc w:val="center"/>
              <w:rPr>
                <w:rFonts w:ascii="Verdana" w:hAnsi="Verdana" w:cs="Arial"/>
                <w:b/>
                <w:bCs/>
                <w:color w:val="FFFFFF" w:themeColor="background1"/>
                <w:sz w:val="20"/>
                <w:szCs w:val="20"/>
              </w:rPr>
            </w:pPr>
            <w:proofErr w:type="spellStart"/>
            <w:r>
              <w:rPr>
                <w:rFonts w:ascii="Verdana" w:hAnsi="Verdana"/>
                <w:b/>
                <w:color w:val="FFFFFF" w:themeColor="background1"/>
                <w:sz w:val="20"/>
              </w:rPr>
              <w:t>Durée</w:t>
            </w:r>
            <w:proofErr w:type="spellEnd"/>
          </w:p>
          <w:p w14:paraId="229FAA53" w14:textId="2BB3F6D8" w:rsidR="00AE5BE0" w:rsidRPr="00030CB4" w:rsidRDefault="00AE5BE0" w:rsidP="00E910FA">
            <w:pPr>
              <w:jc w:val="center"/>
              <w:rPr>
                <w:rFonts w:ascii="Verdana" w:hAnsi="Verdana" w:cs="Arial"/>
                <w:b/>
                <w:color w:val="FFFFFF" w:themeColor="background1"/>
                <w:sz w:val="20"/>
                <w:szCs w:val="20"/>
              </w:rPr>
            </w:pPr>
            <w:proofErr w:type="spellStart"/>
            <w:r>
              <w:rPr>
                <w:rFonts w:ascii="Verdana" w:hAnsi="Verdana"/>
                <w:b/>
                <w:color w:val="FFFFFF" w:themeColor="background1"/>
                <w:sz w:val="20"/>
              </w:rPr>
              <w:t>suggérée</w:t>
            </w:r>
            <w:proofErr w:type="spellEnd"/>
          </w:p>
        </w:tc>
      </w:tr>
      <w:tr w:rsidR="00D04015" w14:paraId="66B3D174" w14:textId="77777777" w:rsidTr="002A2EEB">
        <w:trPr>
          <w:trHeight w:val="20"/>
        </w:trPr>
        <w:tc>
          <w:tcPr>
            <w:tcW w:w="1432" w:type="dxa"/>
            <w:tcBorders>
              <w:top w:val="nil"/>
              <w:left w:val="single" w:sz="8" w:space="0" w:color="54B948"/>
              <w:bottom w:val="single" w:sz="8" w:space="0" w:color="54B948"/>
              <w:right w:val="single" w:sz="8" w:space="0" w:color="54B948"/>
            </w:tcBorders>
            <w:shd w:val="clear" w:color="auto" w:fill="E6F5E4"/>
            <w:tcMar>
              <w:top w:w="173" w:type="dxa"/>
              <w:left w:w="115" w:type="dxa"/>
            </w:tcMar>
          </w:tcPr>
          <w:p w14:paraId="19A10640" w14:textId="1BC454B8" w:rsidR="00D04015" w:rsidRPr="00166711" w:rsidRDefault="00A272D5" w:rsidP="00EC7F6E">
            <w:pPr>
              <w:pStyle w:val="GradeLevel"/>
              <w:rPr>
                <w:lang w:val="en-CA"/>
              </w:rPr>
            </w:pPr>
            <w:r>
              <w:rPr>
                <w:lang w:val="en-CA"/>
              </w:rPr>
              <w:t>8</w:t>
            </w:r>
          </w:p>
        </w:tc>
        <w:tc>
          <w:tcPr>
            <w:tcW w:w="3765" w:type="dxa"/>
            <w:tcBorders>
              <w:top w:val="nil"/>
              <w:left w:val="single" w:sz="8" w:space="0" w:color="54B948"/>
              <w:bottom w:val="single" w:sz="8" w:space="0" w:color="54B948"/>
              <w:right w:val="single" w:sz="8" w:space="0" w:color="54B948"/>
            </w:tcBorders>
            <w:shd w:val="clear" w:color="auto" w:fill="auto"/>
            <w:tcMar>
              <w:top w:w="173" w:type="dxa"/>
              <w:left w:w="173" w:type="dxa"/>
            </w:tcMar>
          </w:tcPr>
          <w:p w14:paraId="517987C9" w14:textId="7EC2CCB1" w:rsidR="00D04015" w:rsidRPr="002D4BA5" w:rsidRDefault="00037CB3" w:rsidP="0085717B">
            <w:pPr>
              <w:pStyle w:val="Copy"/>
            </w:pPr>
            <w:r w:rsidRPr="00037CB3">
              <w:rPr>
                <w:lang w:val="fr-FR"/>
              </w:rPr>
              <w:t>Mathématiques, 1</w:t>
            </w:r>
            <w:r w:rsidRPr="00037CB3">
              <w:rPr>
                <w:vertAlign w:val="superscript"/>
                <w:lang w:val="fr-FR"/>
              </w:rPr>
              <w:t>re</w:t>
            </w:r>
            <w:r w:rsidRPr="00037CB3">
              <w:rPr>
                <w:lang w:val="fr-FR"/>
              </w:rPr>
              <w:t xml:space="preserve"> à la 8</w:t>
            </w:r>
            <w:r w:rsidRPr="00037CB3">
              <w:rPr>
                <w:vertAlign w:val="superscript"/>
                <w:lang w:val="fr-FR"/>
              </w:rPr>
              <w:t>e</w:t>
            </w:r>
            <w:r w:rsidRPr="00037CB3">
              <w:rPr>
                <w:lang w:val="fr-FR"/>
              </w:rPr>
              <w:t xml:space="preserve"> année (2005)</w:t>
            </w:r>
          </w:p>
        </w:tc>
        <w:tc>
          <w:tcPr>
            <w:tcW w:w="4103" w:type="dxa"/>
            <w:tcBorders>
              <w:top w:val="nil"/>
              <w:left w:val="single" w:sz="8" w:space="0" w:color="54B948"/>
              <w:bottom w:val="single" w:sz="8" w:space="0" w:color="54B948"/>
              <w:right w:val="single" w:sz="8" w:space="0" w:color="54B948"/>
            </w:tcBorders>
            <w:shd w:val="clear" w:color="auto" w:fill="auto"/>
            <w:tcMar>
              <w:top w:w="173" w:type="dxa"/>
              <w:left w:w="173" w:type="dxa"/>
              <w:bottom w:w="173" w:type="dxa"/>
            </w:tcMar>
          </w:tcPr>
          <w:p w14:paraId="722010AD" w14:textId="77777777" w:rsidR="00037CB3" w:rsidRPr="00037CB3" w:rsidRDefault="00037CB3" w:rsidP="00037CB3">
            <w:pPr>
              <w:pStyle w:val="Copy"/>
              <w:rPr>
                <w:lang w:val="fr-FR"/>
              </w:rPr>
            </w:pPr>
            <w:r w:rsidRPr="00037CB3">
              <w:rPr>
                <w:lang w:val="fr-FR"/>
              </w:rPr>
              <w:t>À la fin de cette leçon, les élèves pourront :</w:t>
            </w:r>
          </w:p>
          <w:p w14:paraId="1C9BCDB8" w14:textId="532CA3F3" w:rsidR="00D04015" w:rsidRPr="00030CB4" w:rsidRDefault="00037CB3" w:rsidP="00037CB3">
            <w:pPr>
              <w:pStyle w:val="Bullet"/>
            </w:pPr>
            <w:proofErr w:type="gramStart"/>
            <w:r w:rsidRPr="00037CB3">
              <w:rPr>
                <w:lang w:val="fr-FR"/>
              </w:rPr>
              <w:t>créer</w:t>
            </w:r>
            <w:proofErr w:type="gramEnd"/>
            <w:r w:rsidRPr="00037CB3">
              <w:rPr>
                <w:lang w:val="fr-FR"/>
              </w:rPr>
              <w:t xml:space="preserve"> un graphique linéaire en utilisant des données afin de déterminer la variation du prix des actions au fil du temps.</w:t>
            </w:r>
          </w:p>
        </w:tc>
        <w:tc>
          <w:tcPr>
            <w:tcW w:w="1500" w:type="dxa"/>
            <w:tcBorders>
              <w:top w:val="nil"/>
              <w:left w:val="single" w:sz="8" w:space="0" w:color="54B948"/>
              <w:bottom w:val="single" w:sz="8" w:space="0" w:color="54B948"/>
              <w:right w:val="single" w:sz="8" w:space="0" w:color="54B948"/>
            </w:tcBorders>
            <w:tcMar>
              <w:top w:w="173" w:type="dxa"/>
              <w:left w:w="115" w:type="dxa"/>
            </w:tcMar>
          </w:tcPr>
          <w:p w14:paraId="202FD966" w14:textId="19E2E456" w:rsidR="00D04015" w:rsidRPr="00030CB4" w:rsidRDefault="0085717B" w:rsidP="00A6488D">
            <w:pPr>
              <w:pStyle w:val="CopyCentred"/>
            </w:pPr>
            <w:r>
              <w:t>75</w:t>
            </w:r>
            <w:r w:rsidR="00937653" w:rsidRPr="003E1393">
              <w:t xml:space="preserve"> </w:t>
            </w:r>
            <w:r w:rsidR="00937653">
              <w:t>m</w:t>
            </w:r>
            <w:r w:rsidR="00937653" w:rsidRPr="003E1393">
              <w:t>inutes</w:t>
            </w:r>
          </w:p>
        </w:tc>
      </w:tr>
    </w:tbl>
    <w:p w14:paraId="1B774036" w14:textId="77777777" w:rsidR="0001377B" w:rsidRPr="00E80C32" w:rsidRDefault="0001377B" w:rsidP="00E80C32">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AE5BE0" w14:paraId="632E430D" w14:textId="77777777" w:rsidTr="00FC75BD">
        <w:trPr>
          <w:trHeight w:val="441"/>
        </w:trPr>
        <w:tc>
          <w:tcPr>
            <w:tcW w:w="10800" w:type="dxa"/>
            <w:shd w:val="clear" w:color="auto" w:fill="54B948"/>
            <w:tcMar>
              <w:left w:w="259" w:type="dxa"/>
              <w:right w:w="115" w:type="dxa"/>
            </w:tcMar>
            <w:vAlign w:val="center"/>
          </w:tcPr>
          <w:p w14:paraId="48E70EC4" w14:textId="55AA4B5D" w:rsidR="00AE5BE0" w:rsidRDefault="00AE5BE0" w:rsidP="00AE2DB7">
            <w:pPr>
              <w:pStyle w:val="ChartHeading"/>
              <w:rPr>
                <w:sz w:val="13"/>
                <w:szCs w:val="13"/>
              </w:rPr>
            </w:pPr>
            <w:r>
              <w:t>Liens avec le curriculum</w:t>
            </w:r>
          </w:p>
        </w:tc>
      </w:tr>
      <w:tr w:rsidR="00AE5BE0" w14:paraId="028915D4" w14:textId="77777777" w:rsidTr="0030440C">
        <w:trPr>
          <w:trHeight w:val="20"/>
        </w:trPr>
        <w:tc>
          <w:tcPr>
            <w:tcW w:w="10800" w:type="dxa"/>
            <w:shd w:val="clear" w:color="auto" w:fill="auto"/>
            <w:tcMar>
              <w:top w:w="173" w:type="dxa"/>
              <w:left w:w="259" w:type="dxa"/>
              <w:bottom w:w="173" w:type="dxa"/>
              <w:right w:w="115" w:type="dxa"/>
            </w:tcMar>
          </w:tcPr>
          <w:p w14:paraId="7790A14E" w14:textId="56FECF69" w:rsidR="00AE5BE0" w:rsidRPr="00D552CC" w:rsidRDefault="00AE5BE0" w:rsidP="00037CB3">
            <w:pPr>
              <w:pStyle w:val="GreyHeading"/>
            </w:pPr>
            <w:bookmarkStart w:id="0" w:name="_GoBack"/>
            <w:bookmarkEnd w:id="0"/>
          </w:p>
        </w:tc>
      </w:tr>
    </w:tbl>
    <w:p w14:paraId="6FB07833" w14:textId="77777777" w:rsidR="0042208D" w:rsidRDefault="0042208D" w:rsidP="0042208D">
      <w:pPr>
        <w:pStyle w:val="SpaceBetween"/>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A272D5" w14:paraId="3B480F23" w14:textId="77777777" w:rsidTr="00071EC5">
        <w:trPr>
          <w:trHeight w:val="441"/>
        </w:trPr>
        <w:tc>
          <w:tcPr>
            <w:tcW w:w="10800" w:type="dxa"/>
            <w:shd w:val="clear" w:color="auto" w:fill="54B948"/>
            <w:tcMar>
              <w:left w:w="259" w:type="dxa"/>
              <w:right w:w="115" w:type="dxa"/>
            </w:tcMar>
            <w:vAlign w:val="center"/>
          </w:tcPr>
          <w:p w14:paraId="64FF901A" w14:textId="6B30C074" w:rsidR="00A272D5" w:rsidRDefault="00AE5BE0" w:rsidP="00071EC5">
            <w:pPr>
              <w:pStyle w:val="ChartHeading"/>
              <w:rPr>
                <w:sz w:val="13"/>
                <w:szCs w:val="13"/>
              </w:rPr>
            </w:pPr>
            <w:r>
              <w:rPr>
                <w:rFonts w:eastAsia="Verdana" w:cs="Verdana"/>
                <w:color w:val="FFFFFF"/>
              </w:rPr>
              <w:t xml:space="preserve">Question </w:t>
            </w:r>
            <w:proofErr w:type="spellStart"/>
            <w:r>
              <w:rPr>
                <w:rFonts w:eastAsia="Verdana" w:cs="Verdana"/>
                <w:color w:val="FFFFFF"/>
              </w:rPr>
              <w:t>d’enquête</w:t>
            </w:r>
            <w:proofErr w:type="spellEnd"/>
          </w:p>
        </w:tc>
      </w:tr>
      <w:tr w:rsidR="00AE5BE0" w14:paraId="0C9B9E6A" w14:textId="77777777" w:rsidTr="00071EC5">
        <w:trPr>
          <w:trHeight w:val="20"/>
        </w:trPr>
        <w:tc>
          <w:tcPr>
            <w:tcW w:w="10800" w:type="dxa"/>
            <w:shd w:val="clear" w:color="auto" w:fill="auto"/>
            <w:tcMar>
              <w:top w:w="173" w:type="dxa"/>
              <w:left w:w="259" w:type="dxa"/>
              <w:bottom w:w="173" w:type="dxa"/>
              <w:right w:w="115" w:type="dxa"/>
            </w:tcMar>
          </w:tcPr>
          <w:p w14:paraId="56797573" w14:textId="62A23CB4" w:rsidR="00AE5BE0" w:rsidRPr="00A272D5" w:rsidRDefault="00AE5BE0" w:rsidP="00AE5BE0">
            <w:pPr>
              <w:pStyle w:val="Copy"/>
            </w:pPr>
            <w:proofErr w:type="spellStart"/>
            <w:r w:rsidRPr="009B6806">
              <w:t>Dans</w:t>
            </w:r>
            <w:proofErr w:type="spellEnd"/>
            <w:r w:rsidRPr="009B6806">
              <w:t xml:space="preserve"> </w:t>
            </w:r>
            <w:proofErr w:type="spellStart"/>
            <w:r w:rsidRPr="009B6806">
              <w:t>quel</w:t>
            </w:r>
            <w:proofErr w:type="spellEnd"/>
            <w:r w:rsidRPr="009B6806">
              <w:t xml:space="preserve"> mode </w:t>
            </w:r>
            <w:proofErr w:type="spellStart"/>
            <w:r w:rsidRPr="009B6806">
              <w:t>d</w:t>
            </w:r>
            <w:r>
              <w:t>’</w:t>
            </w:r>
            <w:r w:rsidRPr="009B6806">
              <w:t>épargne</w:t>
            </w:r>
            <w:proofErr w:type="spellEnd"/>
            <w:r w:rsidRPr="009B6806">
              <w:t xml:space="preserve"> </w:t>
            </w:r>
            <w:proofErr w:type="spellStart"/>
            <w:r w:rsidRPr="009B6806">
              <w:t>préféreriez-vous</w:t>
            </w:r>
            <w:proofErr w:type="spellEnd"/>
            <w:r w:rsidRPr="009B6806">
              <w:t xml:space="preserve"> </w:t>
            </w:r>
            <w:proofErr w:type="spellStart"/>
            <w:r w:rsidRPr="009B6806">
              <w:t>investir</w:t>
            </w:r>
            <w:proofErr w:type="spellEnd"/>
            <w:r w:rsidRPr="009B6806">
              <w:t xml:space="preserve"> </w:t>
            </w:r>
            <w:proofErr w:type="spellStart"/>
            <w:r w:rsidRPr="009B6806">
              <w:t>votre</w:t>
            </w:r>
            <w:proofErr w:type="spellEnd"/>
            <w:r w:rsidRPr="009B6806">
              <w:t xml:space="preserve"> argent, le </w:t>
            </w:r>
            <w:proofErr w:type="spellStart"/>
            <w:r w:rsidRPr="009B6806">
              <w:t>marché</w:t>
            </w:r>
            <w:proofErr w:type="spellEnd"/>
            <w:r w:rsidRPr="009B6806">
              <w:t xml:space="preserve"> </w:t>
            </w:r>
            <w:proofErr w:type="spellStart"/>
            <w:r w:rsidRPr="009B6806">
              <w:t>boursier</w:t>
            </w:r>
            <w:proofErr w:type="spellEnd"/>
            <w:r w:rsidRPr="009B6806">
              <w:t xml:space="preserve"> </w:t>
            </w:r>
            <w:proofErr w:type="spellStart"/>
            <w:r w:rsidRPr="009B6806">
              <w:t>ou</w:t>
            </w:r>
            <w:proofErr w:type="spellEnd"/>
            <w:r w:rsidRPr="009B6806">
              <w:t xml:space="preserve"> un </w:t>
            </w:r>
            <w:proofErr w:type="spellStart"/>
            <w:r w:rsidRPr="009B6806">
              <w:t>compte</w:t>
            </w:r>
            <w:proofErr w:type="spellEnd"/>
            <w:r w:rsidRPr="009B6806">
              <w:t xml:space="preserve"> </w:t>
            </w:r>
            <w:proofErr w:type="spellStart"/>
            <w:r w:rsidRPr="009B6806">
              <w:t>bancaire</w:t>
            </w:r>
            <w:proofErr w:type="spellEnd"/>
            <w:r w:rsidRPr="009B6806">
              <w:t xml:space="preserve">, et </w:t>
            </w:r>
            <w:proofErr w:type="spellStart"/>
            <w:r w:rsidRPr="009B6806">
              <w:t>pourquoi</w:t>
            </w:r>
            <w:proofErr w:type="spellEnd"/>
            <w:r w:rsidRPr="009B6806">
              <w:t xml:space="preserve"> le </w:t>
            </w:r>
            <w:proofErr w:type="spellStart"/>
            <w:r w:rsidRPr="009B6806">
              <w:t>choisiriez-</w:t>
            </w:r>
            <w:proofErr w:type="gramStart"/>
            <w:r w:rsidRPr="009B6806">
              <w:t>vous</w:t>
            </w:r>
            <w:proofErr w:type="spellEnd"/>
            <w:r w:rsidRPr="009B6806">
              <w:t xml:space="preserve"> ?</w:t>
            </w:r>
            <w:proofErr w:type="gramEnd"/>
          </w:p>
        </w:tc>
      </w:tr>
    </w:tbl>
    <w:p w14:paraId="690AF901" w14:textId="77777777" w:rsidR="00A272D5" w:rsidRDefault="00A272D5" w:rsidP="0042208D">
      <w:pPr>
        <w:pStyle w:val="SpaceBetween"/>
      </w:pPr>
    </w:p>
    <w:p w14:paraId="701495A3" w14:textId="77777777" w:rsidR="00E80C32" w:rsidRPr="002D0AF9" w:rsidRDefault="00872DBF" w:rsidP="00577745">
      <w:pPr>
        <w:sectPr w:rsidR="00E80C32" w:rsidRPr="002D0AF9" w:rsidSect="00F61662">
          <w:headerReference w:type="default" r:id="rId8"/>
          <w:footerReference w:type="even" r:id="rId9"/>
          <w:footerReference w:type="default" r:id="rId10"/>
          <w:pgSz w:w="12240" w:h="15840"/>
          <w:pgMar w:top="540" w:right="720" w:bottom="720" w:left="720" w:header="1584" w:footer="1080" w:gutter="0"/>
          <w:cols w:space="708"/>
          <w:docGrid w:linePitch="360"/>
        </w:sectPr>
      </w:pPr>
      <w:r>
        <w:rPr>
          <w:b/>
        </w:rPr>
        <w:br w:type="page"/>
      </w:r>
    </w:p>
    <w:p w14:paraId="2763A8F3" w14:textId="4FB18A14" w:rsidR="00110B8E" w:rsidRDefault="00110B8E">
      <w:pPr>
        <w:rPr>
          <w:rFonts w:ascii="Verdana" w:hAnsi="Verdana" w:cs="Arial"/>
          <w:sz w:val="14"/>
          <w:szCs w:val="14"/>
        </w:rPr>
      </w:pPr>
    </w:p>
    <w:tbl>
      <w:tblPr>
        <w:tblStyle w:val="TableGrid"/>
        <w:tblW w:w="10800" w:type="dxa"/>
        <w:tblBorders>
          <w:top w:val="single" w:sz="8" w:space="0" w:color="54B948"/>
          <w:left w:val="single" w:sz="8" w:space="0" w:color="54B948"/>
          <w:bottom w:val="single" w:sz="8" w:space="0" w:color="54B948"/>
          <w:right w:val="single" w:sz="8" w:space="0" w:color="54B948"/>
          <w:insideH w:val="single" w:sz="8" w:space="0" w:color="54B948"/>
          <w:insideV w:val="single" w:sz="8" w:space="0" w:color="54B948"/>
        </w:tblBorders>
        <w:tblLook w:val="04A0" w:firstRow="1" w:lastRow="0" w:firstColumn="1" w:lastColumn="0" w:noHBand="0" w:noVBand="1"/>
      </w:tblPr>
      <w:tblGrid>
        <w:gridCol w:w="10800"/>
      </w:tblGrid>
      <w:tr w:rsidR="00110B8E" w14:paraId="727B10F5" w14:textId="77777777" w:rsidTr="00071EC5">
        <w:trPr>
          <w:trHeight w:val="441"/>
        </w:trPr>
        <w:tc>
          <w:tcPr>
            <w:tcW w:w="10800" w:type="dxa"/>
            <w:tcBorders>
              <w:bottom w:val="single" w:sz="8" w:space="0" w:color="54B948"/>
            </w:tcBorders>
            <w:shd w:val="clear" w:color="auto" w:fill="54B948"/>
            <w:tcMar>
              <w:left w:w="259" w:type="dxa"/>
              <w:right w:w="115" w:type="dxa"/>
            </w:tcMar>
            <w:vAlign w:val="center"/>
          </w:tcPr>
          <w:p w14:paraId="44D67609" w14:textId="7309066E" w:rsidR="00110B8E" w:rsidRDefault="00AE5BE0" w:rsidP="00071EC5">
            <w:pPr>
              <w:pStyle w:val="ChartHeading"/>
              <w:rPr>
                <w:sz w:val="13"/>
                <w:szCs w:val="13"/>
              </w:rPr>
            </w:pPr>
            <w:proofErr w:type="spellStart"/>
            <w:r w:rsidRPr="00AE5BE0">
              <w:t>Matériel</w:t>
            </w:r>
            <w:proofErr w:type="spellEnd"/>
          </w:p>
        </w:tc>
      </w:tr>
      <w:tr w:rsidR="00110B8E" w14:paraId="545D4001" w14:textId="77777777" w:rsidTr="00071EC5">
        <w:trPr>
          <w:trHeight w:val="20"/>
        </w:trPr>
        <w:tc>
          <w:tcPr>
            <w:tcW w:w="10800" w:type="dxa"/>
            <w:tcBorders>
              <w:bottom w:val="single" w:sz="8" w:space="0" w:color="54B948"/>
            </w:tcBorders>
            <w:shd w:val="clear" w:color="auto" w:fill="auto"/>
            <w:tcMar>
              <w:top w:w="173" w:type="dxa"/>
              <w:left w:w="259" w:type="dxa"/>
              <w:bottom w:w="173" w:type="dxa"/>
              <w:right w:w="115" w:type="dxa"/>
            </w:tcMar>
          </w:tcPr>
          <w:p w14:paraId="2C1823D5" w14:textId="77777777" w:rsidR="00DD5DF8" w:rsidRPr="003E0AF5" w:rsidRDefault="008518BA" w:rsidP="003E0AF5">
            <w:pPr>
              <w:pStyle w:val="Bullet"/>
              <w:rPr>
                <w:lang w:val="en-US"/>
              </w:rPr>
            </w:pPr>
            <w:proofErr w:type="spellStart"/>
            <w:r w:rsidRPr="003E0AF5">
              <w:rPr>
                <w:lang w:val="en-US"/>
              </w:rPr>
              <w:t>Marqueurs</w:t>
            </w:r>
            <w:proofErr w:type="spellEnd"/>
          </w:p>
          <w:p w14:paraId="352367B0" w14:textId="77777777" w:rsidR="00DD5DF8" w:rsidRPr="003E0AF5" w:rsidRDefault="008518BA" w:rsidP="003E0AF5">
            <w:pPr>
              <w:pStyle w:val="Bullet"/>
              <w:rPr>
                <w:lang w:val="en-US"/>
              </w:rPr>
            </w:pPr>
            <w:r w:rsidRPr="003E0AF5">
              <w:rPr>
                <w:lang w:val="en-US"/>
              </w:rPr>
              <w:t xml:space="preserve">Papier </w:t>
            </w:r>
            <w:proofErr w:type="spellStart"/>
            <w:r w:rsidRPr="003E0AF5">
              <w:rPr>
                <w:lang w:val="en-US"/>
              </w:rPr>
              <w:t>graphique</w:t>
            </w:r>
            <w:proofErr w:type="spellEnd"/>
          </w:p>
          <w:p w14:paraId="2A4DA574" w14:textId="77777777" w:rsidR="00DD5DF8" w:rsidRPr="003E0AF5" w:rsidRDefault="008518BA" w:rsidP="003E0AF5">
            <w:pPr>
              <w:pStyle w:val="Bullet"/>
              <w:rPr>
                <w:lang w:val="en-US"/>
              </w:rPr>
            </w:pPr>
            <w:proofErr w:type="spellStart"/>
            <w:r w:rsidRPr="003E0AF5">
              <w:rPr>
                <w:lang w:val="en-US"/>
              </w:rPr>
              <w:t>Programmes</w:t>
            </w:r>
            <w:proofErr w:type="spellEnd"/>
            <w:r w:rsidRPr="003E0AF5">
              <w:rPr>
                <w:lang w:val="en-US"/>
              </w:rPr>
              <w:t xml:space="preserve"> </w:t>
            </w:r>
            <w:proofErr w:type="spellStart"/>
            <w:r w:rsidRPr="003E0AF5">
              <w:rPr>
                <w:lang w:val="en-US"/>
              </w:rPr>
              <w:t>graphiques</w:t>
            </w:r>
            <w:proofErr w:type="spellEnd"/>
            <w:r w:rsidRPr="003E0AF5">
              <w:rPr>
                <w:lang w:val="en-US"/>
              </w:rPr>
              <w:t xml:space="preserve"> sur </w:t>
            </w:r>
            <w:proofErr w:type="spellStart"/>
            <w:r w:rsidRPr="003E0AF5">
              <w:rPr>
                <w:lang w:val="en-US"/>
              </w:rPr>
              <w:t>ordinateur</w:t>
            </w:r>
            <w:proofErr w:type="spellEnd"/>
          </w:p>
          <w:p w14:paraId="7FD116CC" w14:textId="77777777" w:rsidR="00DD5DF8" w:rsidRPr="003E0AF5" w:rsidRDefault="008518BA" w:rsidP="003E0AF5">
            <w:pPr>
              <w:pStyle w:val="Bullet"/>
              <w:rPr>
                <w:lang w:val="fr-CA"/>
              </w:rPr>
            </w:pPr>
            <w:r w:rsidRPr="003E0AF5">
              <w:rPr>
                <w:lang w:val="fr-CA"/>
              </w:rPr>
              <w:t>iPads/ordinateurs pour rechercher des informations sur les actions</w:t>
            </w:r>
          </w:p>
          <w:p w14:paraId="13649124" w14:textId="77777777" w:rsidR="00DD5DF8" w:rsidRPr="003E0AF5" w:rsidRDefault="008518BA" w:rsidP="003E0AF5">
            <w:pPr>
              <w:pStyle w:val="Bullet"/>
              <w:rPr>
                <w:lang w:val="en-US"/>
              </w:rPr>
            </w:pPr>
            <w:r w:rsidRPr="003E0AF5">
              <w:rPr>
                <w:lang w:val="en-US"/>
              </w:rPr>
              <w:t>Sites Web des Bourses (</w:t>
            </w:r>
            <w:proofErr w:type="spellStart"/>
            <w:r w:rsidRPr="003E0AF5">
              <w:rPr>
                <w:lang w:val="en-US"/>
              </w:rPr>
              <w:t>TMX</w:t>
            </w:r>
            <w:proofErr w:type="spellEnd"/>
            <w:r w:rsidRPr="003E0AF5">
              <w:rPr>
                <w:lang w:val="en-US"/>
              </w:rPr>
              <w:t xml:space="preserve"> Money, Google Finance, Yahoo Finance)</w:t>
            </w:r>
          </w:p>
          <w:p w14:paraId="1420BD77" w14:textId="77777777" w:rsidR="00DD5DF8" w:rsidRPr="003E0AF5" w:rsidRDefault="008518BA" w:rsidP="003E0AF5">
            <w:pPr>
              <w:pStyle w:val="Bullet"/>
              <w:rPr>
                <w:lang w:val="fr-CA"/>
              </w:rPr>
            </w:pPr>
            <w:r w:rsidRPr="003E0AF5">
              <w:rPr>
                <w:lang w:val="fr-CA"/>
              </w:rPr>
              <w:t>Connaissance des graphiques linéaires (enseignés dans une leçon précédente)</w:t>
            </w:r>
          </w:p>
          <w:p w14:paraId="4711383A" w14:textId="77777777" w:rsidR="00DD5DF8" w:rsidRPr="003E0AF5" w:rsidRDefault="008518BA" w:rsidP="003E0AF5">
            <w:pPr>
              <w:pStyle w:val="Bullet"/>
              <w:rPr>
                <w:lang w:val="en-US"/>
              </w:rPr>
            </w:pPr>
            <w:proofErr w:type="spellStart"/>
            <w:r w:rsidRPr="003E0AF5">
              <w:rPr>
                <w:lang w:val="en-US"/>
              </w:rPr>
              <w:t>Exemples</w:t>
            </w:r>
            <w:proofErr w:type="spellEnd"/>
            <w:r w:rsidRPr="003E0AF5">
              <w:rPr>
                <w:lang w:val="en-US"/>
              </w:rPr>
              <w:t xml:space="preserve"> de </w:t>
            </w:r>
            <w:proofErr w:type="spellStart"/>
            <w:r w:rsidRPr="003E0AF5">
              <w:rPr>
                <w:lang w:val="en-US"/>
              </w:rPr>
              <w:t>graphiques</w:t>
            </w:r>
            <w:proofErr w:type="spellEnd"/>
            <w:r w:rsidRPr="003E0AF5">
              <w:rPr>
                <w:lang w:val="en-US"/>
              </w:rPr>
              <w:t xml:space="preserve"> </w:t>
            </w:r>
            <w:proofErr w:type="spellStart"/>
            <w:r w:rsidRPr="003E0AF5">
              <w:rPr>
                <w:lang w:val="en-US"/>
              </w:rPr>
              <w:t>boursiers</w:t>
            </w:r>
            <w:proofErr w:type="spellEnd"/>
          </w:p>
          <w:p w14:paraId="7AA6D32C" w14:textId="77777777" w:rsidR="00DD5DF8" w:rsidRPr="003E0AF5" w:rsidRDefault="008518BA" w:rsidP="003E0AF5">
            <w:pPr>
              <w:pStyle w:val="Bullet"/>
              <w:rPr>
                <w:lang w:val="fr-CA"/>
              </w:rPr>
            </w:pPr>
            <w:r w:rsidRPr="003E0AF5">
              <w:rPr>
                <w:lang w:val="fr-CA"/>
              </w:rPr>
              <w:t>Introduction à l’achat d’actions </w:t>
            </w:r>
            <w:hyperlink r:id="rId11">
              <w:r w:rsidRPr="003E0AF5">
                <w:rPr>
                  <w:rStyle w:val="Hyperlink"/>
                  <w:lang w:val="fr-CA"/>
                </w:rPr>
                <w:t>https://www.ally.com/investing/stocks/stock-basics-an-investors-guide/</w:t>
              </w:r>
            </w:hyperlink>
          </w:p>
          <w:p w14:paraId="6D003179" w14:textId="77777777" w:rsidR="00DD5DF8" w:rsidRPr="003E0AF5" w:rsidRDefault="008518BA" w:rsidP="003E0AF5">
            <w:pPr>
              <w:pStyle w:val="Bullet"/>
              <w:rPr>
                <w:lang w:val="fr-CA"/>
              </w:rPr>
            </w:pPr>
            <w:r w:rsidRPr="003E0AF5">
              <w:rPr>
                <w:lang w:val="fr-CA"/>
              </w:rPr>
              <w:t xml:space="preserve">Sites d’informations de suivi des marchés boursiers (par ex., </w:t>
            </w:r>
            <w:hyperlink r:id="rId12">
              <w:r w:rsidRPr="003E0AF5">
                <w:rPr>
                  <w:rStyle w:val="Hyperlink"/>
                  <w:lang w:val="fr-CA"/>
                </w:rPr>
                <w:t>https://www.tmxmoney.com/en/index.html</w:t>
              </w:r>
            </w:hyperlink>
            <w:r w:rsidRPr="003E0AF5">
              <w:rPr>
                <w:lang w:val="fr-CA"/>
              </w:rPr>
              <w:t xml:space="preserve">, </w:t>
            </w:r>
            <w:hyperlink r:id="rId13">
              <w:r w:rsidRPr="003E0AF5">
                <w:rPr>
                  <w:rStyle w:val="Hyperlink"/>
                  <w:lang w:val="fr-CA"/>
                </w:rPr>
                <w:t>https://www.google.com/finance</w:t>
              </w:r>
            </w:hyperlink>
            <w:r w:rsidRPr="003E0AF5">
              <w:rPr>
                <w:lang w:val="fr-CA"/>
              </w:rPr>
              <w:t xml:space="preserve">, </w:t>
            </w:r>
            <w:hyperlink r:id="rId14">
              <w:r w:rsidRPr="003E0AF5">
                <w:rPr>
                  <w:rStyle w:val="Hyperlink"/>
                  <w:lang w:val="fr-CA"/>
                </w:rPr>
                <w:t>https://ca.finance.yahoo.com/</w:t>
              </w:r>
            </w:hyperlink>
            <w:r w:rsidRPr="003E0AF5">
              <w:rPr>
                <w:lang w:val="fr-CA"/>
              </w:rPr>
              <w:t>)</w:t>
            </w:r>
          </w:p>
          <w:p w14:paraId="3B76DDC7" w14:textId="77777777" w:rsidR="00DD5DF8" w:rsidRPr="003E0AF5" w:rsidRDefault="008518BA" w:rsidP="003E0AF5">
            <w:pPr>
              <w:pStyle w:val="Bullet"/>
              <w:rPr>
                <w:lang w:val="fr-CA"/>
              </w:rPr>
            </w:pPr>
            <w:r w:rsidRPr="003E0AF5">
              <w:rPr>
                <w:lang w:val="fr-CA"/>
              </w:rPr>
              <w:t xml:space="preserve">Comptes d’opérations boursières d’entraînement (par ex., </w:t>
            </w:r>
            <w:hyperlink r:id="rId15">
              <w:r w:rsidRPr="003E0AF5">
                <w:rPr>
                  <w:rStyle w:val="Hyperlink"/>
                  <w:lang w:val="fr-CA"/>
                </w:rPr>
                <w:t>http://www.marketwatch.com/game/</w:t>
              </w:r>
            </w:hyperlink>
            <w:r w:rsidRPr="003E0AF5">
              <w:rPr>
                <w:lang w:val="fr-CA"/>
              </w:rPr>
              <w:t>) </w:t>
            </w:r>
          </w:p>
          <w:p w14:paraId="5A26E7A5" w14:textId="77777777" w:rsidR="00DD5DF8" w:rsidRPr="003E0AF5" w:rsidRDefault="008518BA" w:rsidP="003E0AF5">
            <w:pPr>
              <w:pStyle w:val="Bullet"/>
              <w:rPr>
                <w:lang w:val="fr-CA"/>
              </w:rPr>
            </w:pPr>
            <w:r w:rsidRPr="003E0AF5">
              <w:rPr>
                <w:lang w:val="fr-CA"/>
              </w:rPr>
              <w:t>Informations sur les jeux du marché boursier (</w:t>
            </w:r>
            <w:hyperlink r:id="rId16">
              <w:r w:rsidRPr="003E0AF5">
                <w:rPr>
                  <w:rStyle w:val="Hyperlink"/>
                  <w:lang w:val="fr-CA"/>
                </w:rPr>
                <w:t>http://valuestockguide.com/tools-for-teaching-the-stock-market-game/</w:t>
              </w:r>
            </w:hyperlink>
            <w:r w:rsidRPr="003E0AF5">
              <w:rPr>
                <w:lang w:val="fr-CA"/>
              </w:rPr>
              <w:t>)</w:t>
            </w:r>
          </w:p>
          <w:p w14:paraId="2191824E" w14:textId="77777777" w:rsidR="00DD5DF8" w:rsidRPr="003E0AF5" w:rsidRDefault="008518BA" w:rsidP="003E0AF5">
            <w:pPr>
              <w:pStyle w:val="Bullet"/>
              <w:rPr>
                <w:lang w:val="fr-CA"/>
              </w:rPr>
            </w:pPr>
            <w:r w:rsidRPr="003E0AF5">
              <w:rPr>
                <w:lang w:val="fr-CA"/>
              </w:rPr>
              <w:t>Liste des sociétés et symboles boursiers</w:t>
            </w:r>
          </w:p>
          <w:p w14:paraId="6640AA3F" w14:textId="77777777" w:rsidR="00DD5DF8" w:rsidRPr="003E0AF5" w:rsidRDefault="008518BA" w:rsidP="003E0AF5">
            <w:pPr>
              <w:pStyle w:val="Bullet"/>
              <w:rPr>
                <w:lang w:val="fr-CA"/>
              </w:rPr>
            </w:pPr>
            <w:r w:rsidRPr="003E0AF5">
              <w:rPr>
                <w:lang w:val="fr-CA"/>
              </w:rPr>
              <w:t>Exemple de graphique boursier d’une société avec laquelle ils sont familiarisés (par ex., Apple, Amazon)</w:t>
            </w:r>
          </w:p>
          <w:p w14:paraId="59D030C4" w14:textId="77777777" w:rsidR="00DD5DF8" w:rsidRPr="003E0AF5" w:rsidRDefault="008518BA" w:rsidP="003E0AF5">
            <w:pPr>
              <w:pStyle w:val="Bullet"/>
              <w:rPr>
                <w:lang w:val="fr-CA"/>
              </w:rPr>
            </w:pPr>
            <w:r w:rsidRPr="003E0AF5">
              <w:rPr>
                <w:lang w:val="fr-CA"/>
              </w:rPr>
              <w:t>Exemples de calcul du rendement total et du rendement des actions (Le rendement des actions est la valeur finale moins la valeur initiale.) Le rendement total est le rendement des actions plus le rendement des dividendes.</w:t>
            </w:r>
          </w:p>
          <w:p w14:paraId="22EBAF0A" w14:textId="77777777" w:rsidR="00DD5DF8" w:rsidRPr="003E0AF5" w:rsidRDefault="008518BA" w:rsidP="003E0AF5">
            <w:pPr>
              <w:pStyle w:val="Bullet"/>
              <w:rPr>
                <w:lang w:val="en-US"/>
              </w:rPr>
            </w:pPr>
            <w:r w:rsidRPr="003E0AF5">
              <w:rPr>
                <w:lang w:val="en-US"/>
              </w:rPr>
              <w:t xml:space="preserve">Papier </w:t>
            </w:r>
            <w:proofErr w:type="spellStart"/>
            <w:r w:rsidRPr="003E0AF5">
              <w:rPr>
                <w:lang w:val="en-US"/>
              </w:rPr>
              <w:t>millimétrique</w:t>
            </w:r>
            <w:proofErr w:type="spellEnd"/>
            <w:r w:rsidRPr="003E0AF5">
              <w:rPr>
                <w:lang w:val="en-US"/>
              </w:rPr>
              <w:t xml:space="preserve"> (</w:t>
            </w:r>
            <w:proofErr w:type="spellStart"/>
            <w:r w:rsidRPr="003E0AF5">
              <w:rPr>
                <w:lang w:val="en-US"/>
              </w:rPr>
              <w:t>Annexe</w:t>
            </w:r>
            <w:proofErr w:type="spellEnd"/>
            <w:r w:rsidRPr="003E0AF5">
              <w:rPr>
                <w:lang w:val="en-US"/>
              </w:rPr>
              <w:t> A)</w:t>
            </w:r>
          </w:p>
          <w:p w14:paraId="5EF0BBB0" w14:textId="46A6D252" w:rsidR="00110B8E" w:rsidRPr="00AE2DB7" w:rsidRDefault="008518BA" w:rsidP="003E0AF5">
            <w:pPr>
              <w:pStyle w:val="Bullet"/>
            </w:pPr>
            <w:r w:rsidRPr="003E0AF5">
              <w:rPr>
                <w:lang w:val="en-US"/>
              </w:rPr>
              <w:t>Carte finale (</w:t>
            </w:r>
            <w:proofErr w:type="spellStart"/>
            <w:r w:rsidRPr="003E0AF5">
              <w:rPr>
                <w:lang w:val="en-US"/>
              </w:rPr>
              <w:t>Annexe</w:t>
            </w:r>
            <w:proofErr w:type="spellEnd"/>
            <w:r w:rsidRPr="003E0AF5">
              <w:rPr>
                <w:lang w:val="en-US"/>
              </w:rPr>
              <w:t> B)</w:t>
            </w:r>
          </w:p>
        </w:tc>
      </w:tr>
    </w:tbl>
    <w:p w14:paraId="1072D300" w14:textId="5D2FA265" w:rsidR="003E0AF5" w:rsidRDefault="003E0AF5" w:rsidP="002A2EEB">
      <w:pPr>
        <w:pStyle w:val="SpaceBetween"/>
      </w:pPr>
    </w:p>
    <w:p w14:paraId="0775E3B9" w14:textId="77777777" w:rsidR="003E0AF5" w:rsidRDefault="003E0AF5">
      <w:pPr>
        <w:rPr>
          <w:rFonts w:ascii="Verdana" w:hAnsi="Verdana" w:cs="Arial"/>
          <w:sz w:val="14"/>
          <w:szCs w:val="14"/>
        </w:rPr>
      </w:pPr>
      <w:r>
        <w:br w:type="page"/>
      </w:r>
    </w:p>
    <w:tbl>
      <w:tblPr>
        <w:tblStyle w:val="TableGrid"/>
        <w:tblW w:w="10784" w:type="dxa"/>
        <w:tblLayout w:type="fixed"/>
        <w:tblLook w:val="04A0" w:firstRow="1" w:lastRow="0" w:firstColumn="1" w:lastColumn="0" w:noHBand="0" w:noVBand="1"/>
      </w:tblPr>
      <w:tblGrid>
        <w:gridCol w:w="1094"/>
        <w:gridCol w:w="6552"/>
        <w:gridCol w:w="3138"/>
      </w:tblGrid>
      <w:tr w:rsidR="003E0AF5" w:rsidRPr="00FC75BD" w14:paraId="6B88FA46" w14:textId="77777777" w:rsidTr="003E0AF5">
        <w:trPr>
          <w:trHeight w:val="158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4716A6ED" w14:textId="77777777" w:rsidR="003E0AF5" w:rsidRPr="00FC75BD" w:rsidRDefault="003E0AF5" w:rsidP="00B767A8">
            <w:pPr>
              <w:jc w:val="center"/>
              <w:rPr>
                <w:rFonts w:ascii="Verdana" w:hAnsi="Verdana" w:cs="Arial"/>
                <w:b/>
                <w:bCs/>
                <w:color w:val="FFFFFF" w:themeColor="background1"/>
                <w:sz w:val="20"/>
                <w:szCs w:val="20"/>
              </w:rPr>
            </w:pPr>
            <w:proofErr w:type="spellStart"/>
            <w:r>
              <w:rPr>
                <w:rFonts w:ascii="Verdana" w:hAnsi="Verdana"/>
                <w:b/>
                <w:color w:val="FFFFFF" w:themeColor="background1"/>
                <w:sz w:val="20"/>
              </w:rPr>
              <w:lastRenderedPageBreak/>
              <w:t>Durée</w:t>
            </w:r>
            <w:proofErr w:type="spellEnd"/>
          </w:p>
          <w:p w14:paraId="27AD7970" w14:textId="4B0EB1DB" w:rsidR="003E0AF5" w:rsidRPr="00FC75BD" w:rsidRDefault="003E0AF5" w:rsidP="00071EC5">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451879C8" w14:textId="191469AD" w:rsidR="003E0AF5" w:rsidRPr="00FC75BD" w:rsidRDefault="003E0AF5" w:rsidP="00071EC5">
            <w:pPr>
              <w:rPr>
                <w:rFonts w:ascii="Verdana" w:hAnsi="Verdana" w:cs="Arial"/>
                <w:b/>
                <w:color w:val="FFFFFF" w:themeColor="background1"/>
                <w:sz w:val="20"/>
                <w:szCs w:val="20"/>
              </w:rPr>
            </w:pPr>
            <w:proofErr w:type="spellStart"/>
            <w:r>
              <w:rPr>
                <w:rFonts w:ascii="Verdana" w:hAnsi="Verdana"/>
                <w:b/>
                <w:color w:val="FFFFFF" w:themeColor="background1"/>
                <w:sz w:val="20"/>
              </w:rPr>
              <w:t>Déroulement</w:t>
            </w:r>
            <w:proofErr w:type="spellEnd"/>
            <w:r>
              <w:rPr>
                <w:rFonts w:ascii="Verdana" w:hAnsi="Verdana"/>
                <w:b/>
                <w:color w:val="FFFFFF" w:themeColor="background1"/>
                <w:sz w:val="20"/>
              </w:rPr>
              <w:t xml:space="preserve"> de la </w:t>
            </w:r>
            <w:proofErr w:type="spellStart"/>
            <w:r>
              <w:rPr>
                <w:rFonts w:ascii="Verdana" w:hAnsi="Verdana"/>
                <w:b/>
                <w:color w:val="FFFFFF" w:themeColor="background1"/>
                <w:sz w:val="20"/>
              </w:rPr>
              <w:t>leçon</w:t>
            </w:r>
            <w:proofErr w:type="spellEnd"/>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5704BB0E" w14:textId="501EB3C9" w:rsidR="003E0AF5" w:rsidRPr="00FC75BD" w:rsidRDefault="003E0AF5" w:rsidP="00071EC5">
            <w:pPr>
              <w:rPr>
                <w:rFonts w:ascii="Verdana" w:hAnsi="Verdana" w:cs="Arial"/>
                <w:b/>
                <w:color w:val="FFFFFF" w:themeColor="background1"/>
                <w:sz w:val="20"/>
                <w:szCs w:val="20"/>
              </w:rPr>
            </w:pPr>
            <w:proofErr w:type="spellStart"/>
            <w:r>
              <w:rPr>
                <w:rFonts w:ascii="Verdana" w:hAnsi="Verdana"/>
                <w:b/>
                <w:color w:val="FFFFFF" w:themeColor="background1"/>
                <w:sz w:val="20"/>
              </w:rPr>
              <w:t>Évaluation</w:t>
            </w:r>
            <w:proofErr w:type="spellEnd"/>
            <w:r>
              <w:rPr>
                <w:rFonts w:ascii="Verdana" w:hAnsi="Verdana"/>
                <w:b/>
                <w:color w:val="FFFFFF" w:themeColor="background1"/>
                <w:sz w:val="20"/>
              </w:rPr>
              <w:t xml:space="preserve"> </w:t>
            </w:r>
            <w:proofErr w:type="spellStart"/>
            <w:r>
              <w:rPr>
                <w:rFonts w:ascii="Verdana" w:hAnsi="Verdana"/>
                <w:b/>
                <w:color w:val="FFFFFF" w:themeColor="background1"/>
                <w:sz w:val="20"/>
              </w:rPr>
              <w:t>comme</w:t>
            </w:r>
            <w:proofErr w:type="spellEnd"/>
            <w:r>
              <w:rPr>
                <w:rFonts w:ascii="Verdana" w:hAnsi="Verdana"/>
                <w:b/>
                <w:color w:val="FFFFFF" w:themeColor="background1"/>
                <w:sz w:val="20"/>
              </w:rPr>
              <w:t xml:space="preserve"> </w:t>
            </w:r>
            <w:r>
              <w:rPr>
                <w:rFonts w:ascii="Verdana" w:hAnsi="Verdana"/>
                <w:b/>
                <w:color w:val="FFFFFF" w:themeColor="background1"/>
                <w:sz w:val="20"/>
              </w:rPr>
              <w:br/>
              <w:t xml:space="preserve">et au service de </w:t>
            </w:r>
            <w:proofErr w:type="spellStart"/>
            <w:r>
              <w:rPr>
                <w:rFonts w:ascii="Verdana" w:hAnsi="Verdana"/>
                <w:b/>
                <w:color w:val="FFFFFF" w:themeColor="background1"/>
                <w:sz w:val="20"/>
              </w:rPr>
              <w:t>l’apprentissage</w:t>
            </w:r>
            <w:proofErr w:type="spellEnd"/>
            <w:r>
              <w:rPr>
                <w:rFonts w:ascii="Verdana" w:hAnsi="Verdana"/>
                <w:b/>
                <w:color w:val="FFFFFF" w:themeColor="background1"/>
                <w:sz w:val="20"/>
              </w:rPr>
              <w:t xml:space="preserve"> </w:t>
            </w:r>
            <w:r>
              <w:rPr>
                <w:rFonts w:ascii="Verdana" w:hAnsi="Verdana"/>
                <w:color w:val="FFFFFF" w:themeColor="background1"/>
                <w:sz w:val="20"/>
              </w:rPr>
              <w:t>(auto-</w:t>
            </w:r>
            <w:proofErr w:type="spellStart"/>
            <w:r>
              <w:rPr>
                <w:rFonts w:ascii="Verdana" w:hAnsi="Verdana"/>
                <w:color w:val="FFFFFF" w:themeColor="background1"/>
                <w:sz w:val="20"/>
              </w:rPr>
              <w:t>évaluation</w:t>
            </w:r>
            <w:proofErr w:type="spellEnd"/>
            <w:r>
              <w:rPr>
                <w:rFonts w:ascii="Verdana" w:hAnsi="Verdana"/>
                <w:color w:val="FFFFFF" w:themeColor="background1"/>
                <w:sz w:val="20"/>
              </w:rPr>
              <w:t>/</w:t>
            </w:r>
            <w:proofErr w:type="spellStart"/>
            <w:r>
              <w:rPr>
                <w:rFonts w:ascii="Verdana" w:hAnsi="Verdana"/>
                <w:color w:val="FFFFFF" w:themeColor="background1"/>
                <w:sz w:val="20"/>
              </w:rPr>
              <w:t>évaluation</w:t>
            </w:r>
            <w:proofErr w:type="spellEnd"/>
            <w:r>
              <w:rPr>
                <w:rFonts w:ascii="Verdana" w:hAnsi="Verdana"/>
                <w:color w:val="FFFFFF" w:themeColor="background1"/>
                <w:sz w:val="20"/>
              </w:rPr>
              <w:t xml:space="preserve"> </w:t>
            </w:r>
            <w:r>
              <w:rPr>
                <w:rFonts w:ascii="Verdana" w:hAnsi="Verdana"/>
                <w:color w:val="FFFFFF" w:themeColor="background1"/>
                <w:sz w:val="20"/>
              </w:rPr>
              <w:br/>
              <w:t xml:space="preserve">par les pairs/le personnel </w:t>
            </w:r>
            <w:proofErr w:type="spellStart"/>
            <w:r>
              <w:rPr>
                <w:rFonts w:ascii="Verdana" w:hAnsi="Verdana"/>
                <w:color w:val="FFFFFF" w:themeColor="background1"/>
                <w:sz w:val="20"/>
              </w:rPr>
              <w:t>enseignant</w:t>
            </w:r>
            <w:proofErr w:type="spellEnd"/>
            <w:r>
              <w:rPr>
                <w:rFonts w:ascii="Verdana" w:hAnsi="Verdana"/>
                <w:color w:val="FFFFFF" w:themeColor="background1"/>
                <w:sz w:val="20"/>
              </w:rPr>
              <w:t>)</w:t>
            </w:r>
          </w:p>
        </w:tc>
      </w:tr>
      <w:tr w:rsidR="00110B8E" w:rsidRPr="00FC75BD" w14:paraId="03515780" w14:textId="77777777" w:rsidTr="00071EC5">
        <w:trPr>
          <w:trHeight w:val="432"/>
        </w:trPr>
        <w:tc>
          <w:tcPr>
            <w:tcW w:w="10784" w:type="dxa"/>
            <w:gridSpan w:val="3"/>
            <w:tcBorders>
              <w:top w:val="single" w:sz="8" w:space="0" w:color="54B948"/>
              <w:left w:val="single" w:sz="8" w:space="0" w:color="3F708E"/>
              <w:bottom w:val="nil"/>
              <w:right w:val="single" w:sz="8" w:space="0" w:color="3F708E"/>
            </w:tcBorders>
            <w:shd w:val="clear" w:color="auto" w:fill="3F708E"/>
            <w:vAlign w:val="center"/>
          </w:tcPr>
          <w:p w14:paraId="00F648BE" w14:textId="238A88CA" w:rsidR="00110B8E" w:rsidRPr="00110B8E" w:rsidRDefault="003E0AF5" w:rsidP="00071EC5">
            <w:pPr>
              <w:pStyle w:val="SectionHeading"/>
              <w:rPr>
                <w:b w:val="0"/>
              </w:rPr>
            </w:pPr>
            <w:proofErr w:type="spellStart"/>
            <w:r>
              <w:rPr>
                <w:rFonts w:eastAsia="Verdana" w:cs="Verdana"/>
                <w:color w:val="FFFFFF"/>
              </w:rPr>
              <w:t>MISE</w:t>
            </w:r>
            <w:proofErr w:type="spellEnd"/>
            <w:r>
              <w:rPr>
                <w:rFonts w:eastAsia="Verdana" w:cs="Verdana"/>
                <w:color w:val="FFFFFF"/>
              </w:rPr>
              <w:t xml:space="preserve"> </w:t>
            </w:r>
            <w:proofErr w:type="spellStart"/>
            <w:r>
              <w:rPr>
                <w:rFonts w:eastAsia="Verdana" w:cs="Verdana"/>
                <w:color w:val="FFFFFF"/>
              </w:rPr>
              <w:t>EN</w:t>
            </w:r>
            <w:proofErr w:type="spellEnd"/>
            <w:r>
              <w:rPr>
                <w:rFonts w:eastAsia="Verdana" w:cs="Verdana"/>
                <w:color w:val="FFFFFF"/>
              </w:rPr>
              <w:t xml:space="preserve"> SITUATION</w:t>
            </w:r>
          </w:p>
        </w:tc>
      </w:tr>
      <w:tr w:rsidR="00110B8E" w:rsidRPr="004365A8" w14:paraId="008B5A47" w14:textId="77777777" w:rsidTr="00B92236">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46B50805" w14:textId="2AE69EA9" w:rsidR="00110B8E" w:rsidRDefault="00B92236" w:rsidP="003E0AF5">
            <w:pPr>
              <w:pStyle w:val="CopyCentred"/>
            </w:pPr>
            <w:r>
              <w:t>5</w:t>
            </w:r>
            <w:r w:rsidR="003E0AF5">
              <w:t xml:space="preserve"> à </w:t>
            </w:r>
            <w:r>
              <w:t>10 minutes</w:t>
            </w:r>
          </w:p>
        </w:tc>
        <w:tc>
          <w:tcPr>
            <w:tcW w:w="6552" w:type="dxa"/>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714F6606" w14:textId="77777777" w:rsidR="003E0AF5" w:rsidRPr="003E0AF5" w:rsidRDefault="003E0AF5" w:rsidP="003E0AF5">
            <w:pPr>
              <w:pStyle w:val="ClassHeading"/>
              <w:rPr>
                <w:lang w:val="fr-CA"/>
              </w:rPr>
            </w:pPr>
            <w:r w:rsidRPr="003E0AF5">
              <w:rPr>
                <w:lang w:val="fr-CA"/>
              </w:rPr>
              <w:t>CLASSE ENTIÈRE</w:t>
            </w:r>
          </w:p>
          <w:p w14:paraId="71A749CD" w14:textId="77777777" w:rsidR="003E0AF5" w:rsidRPr="003E0AF5" w:rsidRDefault="003E0AF5" w:rsidP="003E0AF5">
            <w:pPr>
              <w:pStyle w:val="Copy"/>
              <w:rPr>
                <w:lang w:val="fr-CA" w:eastAsia="en-CA"/>
              </w:rPr>
            </w:pPr>
            <w:r w:rsidRPr="003E0AF5">
              <w:rPr>
                <w:b/>
                <w:lang w:val="fr-CA" w:eastAsia="en-CA"/>
              </w:rPr>
              <w:t xml:space="preserve">REMARQUE : </w:t>
            </w:r>
            <w:r w:rsidRPr="003E0AF5">
              <w:rPr>
                <w:lang w:val="fr-CA" w:eastAsia="en-CA"/>
              </w:rPr>
              <w:t>Cette leçon suppose que l’argent est investi au début de l’année et qu’aucune somme n’est retirée ou ajoutée pendant toute la durée de l’année.</w:t>
            </w:r>
          </w:p>
          <w:p w14:paraId="39C72600" w14:textId="77777777" w:rsidR="003E0AF5" w:rsidRPr="003E0AF5" w:rsidRDefault="003E0AF5" w:rsidP="003E0AF5">
            <w:pPr>
              <w:pStyle w:val="Copy"/>
              <w:rPr>
                <w:lang w:val="fr-CA" w:eastAsia="en-CA"/>
              </w:rPr>
            </w:pPr>
            <w:r w:rsidRPr="003E0AF5">
              <w:rPr>
                <w:lang w:val="fr-CA" w:eastAsia="en-CA"/>
              </w:rPr>
              <w:t>Les graphiques linéaires sont utilisés dans la vie quotidienne. Les graphiques linéaires sont des outils utiles pour suivre les changements au fil du temps.</w:t>
            </w:r>
          </w:p>
          <w:p w14:paraId="28099077" w14:textId="77777777" w:rsidR="003E0AF5" w:rsidRPr="003E0AF5" w:rsidRDefault="003E0AF5" w:rsidP="003E0AF5">
            <w:pPr>
              <w:pStyle w:val="Copy"/>
              <w:rPr>
                <w:lang w:val="fr-CA" w:eastAsia="en-CA"/>
              </w:rPr>
            </w:pPr>
            <w:r w:rsidRPr="003E0AF5">
              <w:rPr>
                <w:lang w:val="fr-CA" w:eastAsia="en-CA"/>
              </w:rPr>
              <w:t xml:space="preserve">Expliquez que l’un des moyens utilisés par ces graphiques et diagrammes est de suivre les augmentations et les diminutions des prix des investissements, comme les actions, les </w:t>
            </w:r>
            <w:proofErr w:type="spellStart"/>
            <w:r w:rsidRPr="003E0AF5">
              <w:rPr>
                <w:lang w:val="fr-CA" w:eastAsia="en-CA"/>
              </w:rPr>
              <w:t>CPG</w:t>
            </w:r>
            <w:proofErr w:type="spellEnd"/>
            <w:r w:rsidRPr="003E0AF5">
              <w:rPr>
                <w:lang w:val="fr-CA" w:eastAsia="en-CA"/>
              </w:rPr>
              <w:t xml:space="preserve"> et les comptes bancaires. Expliquez ce que sont les actions (un morceau ou une fraction d’une entreprise en disant que vous possédez une partie de cette entreprise). Expliquez que ces investissements ont différents niveaux de sécurité. Par exemple, si vous achetez un titre et l’entreprise fait faillite, vous pouvez perdre tout votre argent, alors qu’un compte bancaire est assuré par le gouvernement. Cependant, alors que le compte bancaire est sûr, il pourrait ne pas vous rapporter plus d’argent que l’action.</w:t>
            </w:r>
          </w:p>
          <w:p w14:paraId="11F7DD21" w14:textId="77777777" w:rsidR="003E0AF5" w:rsidRPr="003E0AF5" w:rsidRDefault="003E0AF5" w:rsidP="003E0AF5">
            <w:pPr>
              <w:pStyle w:val="Copy"/>
              <w:rPr>
                <w:lang w:val="fr-CA" w:eastAsia="en-CA"/>
              </w:rPr>
            </w:pPr>
            <w:r w:rsidRPr="003E0AF5">
              <w:rPr>
                <w:lang w:val="fr-CA" w:eastAsia="en-CA"/>
              </w:rPr>
              <w:t>Montrez aux élèves le graphique d’un cours boursier d’une société qu’ils connaissent (p. ex., Amazon (</w:t>
            </w:r>
            <w:proofErr w:type="spellStart"/>
            <w:r w:rsidRPr="003E0AF5">
              <w:rPr>
                <w:lang w:val="fr-CA" w:eastAsia="en-CA"/>
              </w:rPr>
              <w:t>AMZN</w:t>
            </w:r>
            <w:proofErr w:type="spellEnd"/>
            <w:r w:rsidRPr="003E0AF5">
              <w:rPr>
                <w:lang w:val="fr-CA" w:eastAsia="en-CA"/>
              </w:rPr>
              <w:t>), Snapchat (SNAP)). Montrez-leur les différentes parties du graphique, les axes x et y.</w:t>
            </w:r>
          </w:p>
          <w:p w14:paraId="5C09DCF4" w14:textId="6CEB01CB" w:rsidR="00110B8E" w:rsidRPr="002A2EEB" w:rsidRDefault="003E0AF5" w:rsidP="003E0AF5">
            <w:pPr>
              <w:pStyle w:val="Copy"/>
              <w:rPr>
                <w:sz w:val="16"/>
                <w:szCs w:val="18"/>
                <w:lang w:eastAsia="en-CA"/>
              </w:rPr>
            </w:pPr>
            <w:r w:rsidRPr="003E0AF5">
              <w:rPr>
                <w:lang w:val="fr-CA" w:eastAsia="en-CA"/>
              </w:rPr>
              <w:t>Présentez le concept de rendement total (augmentation du prix de l’action + dividendes totaux reçus. Les dividendes sont conservés et ne sont pas réinvestis). Effectuez quelques calculs du rendement des actions et du rendement total.</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016E53A4" w14:textId="47CDD650" w:rsidR="00110B8E" w:rsidRPr="00110B8E" w:rsidRDefault="003E0AF5" w:rsidP="00071EC5">
            <w:pPr>
              <w:pStyle w:val="Copy"/>
            </w:pPr>
            <w:r w:rsidRPr="003E0AF5">
              <w:rPr>
                <w:lang w:val="en-US"/>
              </w:rPr>
              <w:t xml:space="preserve">Observations/Notes </w:t>
            </w:r>
            <w:proofErr w:type="spellStart"/>
            <w:r w:rsidRPr="003E0AF5">
              <w:rPr>
                <w:lang w:val="en-US"/>
              </w:rPr>
              <w:t>anecdotiques</w:t>
            </w:r>
            <w:proofErr w:type="spellEnd"/>
          </w:p>
        </w:tc>
      </w:tr>
    </w:tbl>
    <w:p w14:paraId="5ED9545F" w14:textId="77777777" w:rsidR="002A2EEB" w:rsidRDefault="00110B8E">
      <w:pPr>
        <w:rPr>
          <w:rFonts w:ascii="Verdana" w:hAnsi="Verdana" w:cs="Arial"/>
          <w:sz w:val="36"/>
          <w:szCs w:val="36"/>
        </w:rPr>
      </w:pPr>
      <w:r>
        <w:rPr>
          <w:rFonts w:ascii="Verdana" w:hAnsi="Verdana" w:cs="Arial"/>
          <w:sz w:val="36"/>
          <w:szCs w:val="36"/>
        </w:rPr>
        <w:br w:type="page"/>
      </w:r>
    </w:p>
    <w:tbl>
      <w:tblPr>
        <w:tblStyle w:val="TableGrid"/>
        <w:tblW w:w="10784" w:type="dxa"/>
        <w:tblLayout w:type="fixed"/>
        <w:tblLook w:val="04A0" w:firstRow="1" w:lastRow="0" w:firstColumn="1" w:lastColumn="0" w:noHBand="0" w:noVBand="1"/>
      </w:tblPr>
      <w:tblGrid>
        <w:gridCol w:w="1094"/>
        <w:gridCol w:w="6546"/>
        <w:gridCol w:w="6"/>
        <w:gridCol w:w="3138"/>
      </w:tblGrid>
      <w:tr w:rsidR="003E0AF5" w:rsidRPr="00FC75BD" w14:paraId="4B3E84C4" w14:textId="77777777" w:rsidTr="005C615E">
        <w:trPr>
          <w:trHeight w:val="1584"/>
          <w:tblHeader/>
        </w:trPr>
        <w:tc>
          <w:tcPr>
            <w:tcW w:w="1094" w:type="dxa"/>
            <w:tcBorders>
              <w:top w:val="single" w:sz="8" w:space="0" w:color="54B948"/>
              <w:left w:val="single" w:sz="8" w:space="0" w:color="54B948"/>
              <w:bottom w:val="single" w:sz="8" w:space="0" w:color="54B948"/>
              <w:right w:val="single" w:sz="8" w:space="0" w:color="FFFFFF" w:themeColor="background1"/>
            </w:tcBorders>
            <w:shd w:val="clear" w:color="auto" w:fill="54B948"/>
          </w:tcPr>
          <w:p w14:paraId="5D29A54E" w14:textId="77777777" w:rsidR="003E0AF5" w:rsidRPr="00FC75BD" w:rsidRDefault="003E0AF5" w:rsidP="00B767A8">
            <w:pPr>
              <w:jc w:val="center"/>
              <w:rPr>
                <w:rFonts w:ascii="Verdana" w:hAnsi="Verdana" w:cs="Arial"/>
                <w:b/>
                <w:bCs/>
                <w:color w:val="FFFFFF" w:themeColor="background1"/>
                <w:sz w:val="20"/>
                <w:szCs w:val="20"/>
              </w:rPr>
            </w:pPr>
            <w:proofErr w:type="spellStart"/>
            <w:r>
              <w:rPr>
                <w:rFonts w:ascii="Verdana" w:hAnsi="Verdana"/>
                <w:b/>
                <w:color w:val="FFFFFF" w:themeColor="background1"/>
                <w:sz w:val="20"/>
              </w:rPr>
              <w:lastRenderedPageBreak/>
              <w:t>Durée</w:t>
            </w:r>
            <w:proofErr w:type="spellEnd"/>
          </w:p>
          <w:p w14:paraId="5B5A4C22" w14:textId="21B77FAC" w:rsidR="003E0AF5" w:rsidRPr="00FC75BD" w:rsidRDefault="003E0AF5" w:rsidP="00DF4441">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3227886C" w14:textId="64E84DA5" w:rsidR="003E0AF5" w:rsidRPr="00FC75BD" w:rsidRDefault="003E0AF5" w:rsidP="00DF4441">
            <w:pPr>
              <w:rPr>
                <w:rFonts w:ascii="Verdana" w:hAnsi="Verdana" w:cs="Arial"/>
                <w:b/>
                <w:color w:val="FFFFFF" w:themeColor="background1"/>
                <w:sz w:val="20"/>
                <w:szCs w:val="20"/>
              </w:rPr>
            </w:pPr>
            <w:proofErr w:type="spellStart"/>
            <w:r>
              <w:rPr>
                <w:rFonts w:ascii="Verdana" w:hAnsi="Verdana"/>
                <w:b/>
                <w:color w:val="FFFFFF" w:themeColor="background1"/>
                <w:sz w:val="20"/>
              </w:rPr>
              <w:t>Déroulement</w:t>
            </w:r>
            <w:proofErr w:type="spellEnd"/>
            <w:r>
              <w:rPr>
                <w:rFonts w:ascii="Verdana" w:hAnsi="Verdana"/>
                <w:b/>
                <w:color w:val="FFFFFF" w:themeColor="background1"/>
                <w:sz w:val="20"/>
              </w:rPr>
              <w:t xml:space="preserve"> de la </w:t>
            </w:r>
            <w:proofErr w:type="spellStart"/>
            <w:r>
              <w:rPr>
                <w:rFonts w:ascii="Verdana" w:hAnsi="Verdana"/>
                <w:b/>
                <w:color w:val="FFFFFF" w:themeColor="background1"/>
                <w:sz w:val="20"/>
              </w:rPr>
              <w:t>leçon</w:t>
            </w:r>
            <w:proofErr w:type="spellEnd"/>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31A9696F" w14:textId="3B817394" w:rsidR="003E0AF5" w:rsidRPr="00FC75BD" w:rsidRDefault="003E0AF5" w:rsidP="00DF4441">
            <w:pPr>
              <w:rPr>
                <w:rFonts w:ascii="Verdana" w:hAnsi="Verdana" w:cs="Arial"/>
                <w:b/>
                <w:color w:val="FFFFFF" w:themeColor="background1"/>
                <w:sz w:val="20"/>
                <w:szCs w:val="20"/>
              </w:rPr>
            </w:pPr>
            <w:proofErr w:type="spellStart"/>
            <w:r>
              <w:rPr>
                <w:rFonts w:ascii="Verdana" w:hAnsi="Verdana"/>
                <w:b/>
                <w:color w:val="FFFFFF" w:themeColor="background1"/>
                <w:sz w:val="20"/>
              </w:rPr>
              <w:t>Évaluation</w:t>
            </w:r>
            <w:proofErr w:type="spellEnd"/>
            <w:r>
              <w:rPr>
                <w:rFonts w:ascii="Verdana" w:hAnsi="Verdana"/>
                <w:b/>
                <w:color w:val="FFFFFF" w:themeColor="background1"/>
                <w:sz w:val="20"/>
              </w:rPr>
              <w:t xml:space="preserve"> </w:t>
            </w:r>
            <w:proofErr w:type="spellStart"/>
            <w:r>
              <w:rPr>
                <w:rFonts w:ascii="Verdana" w:hAnsi="Verdana"/>
                <w:b/>
                <w:color w:val="FFFFFF" w:themeColor="background1"/>
                <w:sz w:val="20"/>
              </w:rPr>
              <w:t>comme</w:t>
            </w:r>
            <w:proofErr w:type="spellEnd"/>
            <w:r>
              <w:rPr>
                <w:rFonts w:ascii="Verdana" w:hAnsi="Verdana"/>
                <w:b/>
                <w:color w:val="FFFFFF" w:themeColor="background1"/>
                <w:sz w:val="20"/>
              </w:rPr>
              <w:t xml:space="preserve"> </w:t>
            </w:r>
            <w:r>
              <w:rPr>
                <w:rFonts w:ascii="Verdana" w:hAnsi="Verdana"/>
                <w:b/>
                <w:color w:val="FFFFFF" w:themeColor="background1"/>
                <w:sz w:val="20"/>
              </w:rPr>
              <w:br/>
              <w:t xml:space="preserve">et au service de </w:t>
            </w:r>
            <w:proofErr w:type="spellStart"/>
            <w:r>
              <w:rPr>
                <w:rFonts w:ascii="Verdana" w:hAnsi="Verdana"/>
                <w:b/>
                <w:color w:val="FFFFFF" w:themeColor="background1"/>
                <w:sz w:val="20"/>
              </w:rPr>
              <w:t>l’apprentissage</w:t>
            </w:r>
            <w:proofErr w:type="spellEnd"/>
            <w:r>
              <w:rPr>
                <w:rFonts w:ascii="Verdana" w:hAnsi="Verdana"/>
                <w:b/>
                <w:color w:val="FFFFFF" w:themeColor="background1"/>
                <w:sz w:val="20"/>
              </w:rPr>
              <w:t xml:space="preserve"> </w:t>
            </w:r>
            <w:r>
              <w:rPr>
                <w:rFonts w:ascii="Verdana" w:hAnsi="Verdana"/>
                <w:color w:val="FFFFFF" w:themeColor="background1"/>
                <w:sz w:val="20"/>
              </w:rPr>
              <w:t>(auto-</w:t>
            </w:r>
            <w:proofErr w:type="spellStart"/>
            <w:r>
              <w:rPr>
                <w:rFonts w:ascii="Verdana" w:hAnsi="Verdana"/>
                <w:color w:val="FFFFFF" w:themeColor="background1"/>
                <w:sz w:val="20"/>
              </w:rPr>
              <w:t>évaluation</w:t>
            </w:r>
            <w:proofErr w:type="spellEnd"/>
            <w:r>
              <w:rPr>
                <w:rFonts w:ascii="Verdana" w:hAnsi="Verdana"/>
                <w:color w:val="FFFFFF" w:themeColor="background1"/>
                <w:sz w:val="20"/>
              </w:rPr>
              <w:t>/</w:t>
            </w:r>
            <w:proofErr w:type="spellStart"/>
            <w:r>
              <w:rPr>
                <w:rFonts w:ascii="Verdana" w:hAnsi="Verdana"/>
                <w:color w:val="FFFFFF" w:themeColor="background1"/>
                <w:sz w:val="20"/>
              </w:rPr>
              <w:t>évaluation</w:t>
            </w:r>
            <w:proofErr w:type="spellEnd"/>
            <w:r>
              <w:rPr>
                <w:rFonts w:ascii="Verdana" w:hAnsi="Verdana"/>
                <w:color w:val="FFFFFF" w:themeColor="background1"/>
                <w:sz w:val="20"/>
              </w:rPr>
              <w:t xml:space="preserve"> </w:t>
            </w:r>
            <w:r>
              <w:rPr>
                <w:rFonts w:ascii="Verdana" w:hAnsi="Verdana"/>
                <w:color w:val="FFFFFF" w:themeColor="background1"/>
                <w:sz w:val="20"/>
              </w:rPr>
              <w:br/>
              <w:t xml:space="preserve">par les pairs/le personnel </w:t>
            </w:r>
            <w:proofErr w:type="spellStart"/>
            <w:r>
              <w:rPr>
                <w:rFonts w:ascii="Verdana" w:hAnsi="Verdana"/>
                <w:color w:val="FFFFFF" w:themeColor="background1"/>
                <w:sz w:val="20"/>
              </w:rPr>
              <w:t>enseignant</w:t>
            </w:r>
            <w:proofErr w:type="spellEnd"/>
            <w:r>
              <w:rPr>
                <w:rFonts w:ascii="Verdana" w:hAnsi="Verdana"/>
                <w:color w:val="FFFFFF" w:themeColor="background1"/>
                <w:sz w:val="20"/>
              </w:rPr>
              <w:t>)</w:t>
            </w:r>
          </w:p>
        </w:tc>
      </w:tr>
      <w:tr w:rsidR="002A2EEB" w:rsidRPr="00FC75BD" w14:paraId="75145449" w14:textId="77777777" w:rsidTr="005C615E">
        <w:trPr>
          <w:trHeight w:val="432"/>
        </w:trPr>
        <w:tc>
          <w:tcPr>
            <w:tcW w:w="10784" w:type="dxa"/>
            <w:gridSpan w:val="4"/>
            <w:tcBorders>
              <w:top w:val="single" w:sz="8" w:space="0" w:color="54B948"/>
              <w:left w:val="single" w:sz="8" w:space="0" w:color="3F708E"/>
              <w:bottom w:val="nil"/>
              <w:right w:val="single" w:sz="8" w:space="0" w:color="3F708E"/>
            </w:tcBorders>
            <w:shd w:val="clear" w:color="auto" w:fill="3F708E"/>
            <w:vAlign w:val="center"/>
          </w:tcPr>
          <w:p w14:paraId="38782AF2" w14:textId="3E7CDA78" w:rsidR="002A2EEB" w:rsidRPr="002A2EEB" w:rsidRDefault="005C615E" w:rsidP="005C615E">
            <w:pPr>
              <w:pStyle w:val="SectionHeading"/>
              <w:rPr>
                <w:b w:val="0"/>
              </w:rPr>
            </w:pPr>
            <w:proofErr w:type="spellStart"/>
            <w:r>
              <w:rPr>
                <w:rFonts w:eastAsia="Verdana" w:cs="Verdana"/>
                <w:color w:val="FFFFFF"/>
              </w:rPr>
              <w:t>MISE</w:t>
            </w:r>
            <w:proofErr w:type="spellEnd"/>
            <w:r>
              <w:rPr>
                <w:rFonts w:eastAsia="Verdana" w:cs="Verdana"/>
                <w:color w:val="FFFFFF"/>
              </w:rPr>
              <w:t xml:space="preserve"> </w:t>
            </w:r>
            <w:proofErr w:type="spellStart"/>
            <w:r>
              <w:rPr>
                <w:rFonts w:eastAsia="Verdana" w:cs="Verdana"/>
                <w:color w:val="FFFFFF"/>
              </w:rPr>
              <w:t>EN</w:t>
            </w:r>
            <w:proofErr w:type="spellEnd"/>
            <w:r>
              <w:rPr>
                <w:rFonts w:eastAsia="Verdana" w:cs="Verdana"/>
                <w:color w:val="FFFFFF"/>
              </w:rPr>
              <w:t xml:space="preserve"> SITUATION</w:t>
            </w:r>
            <w:r>
              <w:rPr>
                <w:b w:val="0"/>
              </w:rPr>
              <w:t xml:space="preserve"> </w:t>
            </w:r>
            <w:r w:rsidR="002A2EEB">
              <w:rPr>
                <w:b w:val="0"/>
              </w:rPr>
              <w:t>(</w:t>
            </w:r>
            <w:r>
              <w:rPr>
                <w:b w:val="0"/>
              </w:rPr>
              <w:t>suite</w:t>
            </w:r>
            <w:r w:rsidR="002A2EEB">
              <w:rPr>
                <w:b w:val="0"/>
              </w:rPr>
              <w:t>)</w:t>
            </w:r>
          </w:p>
        </w:tc>
      </w:tr>
      <w:tr w:rsidR="005C615E" w:rsidRPr="00F75708" w14:paraId="4A926EF5" w14:textId="77777777" w:rsidTr="005C615E">
        <w:trPr>
          <w:trHeight w:val="13"/>
        </w:trPr>
        <w:tc>
          <w:tcPr>
            <w:tcW w:w="1094" w:type="dxa"/>
            <w:tcBorders>
              <w:top w:val="nil"/>
              <w:left w:val="single" w:sz="8" w:space="0" w:color="54B948"/>
              <w:bottom w:val="nil"/>
              <w:right w:val="single" w:sz="8" w:space="0" w:color="54B948"/>
            </w:tcBorders>
            <w:tcMar>
              <w:top w:w="173" w:type="dxa"/>
              <w:left w:w="72" w:type="dxa"/>
              <w:right w:w="72" w:type="dxa"/>
            </w:tcMar>
          </w:tcPr>
          <w:p w14:paraId="352A57BA" w14:textId="77777777" w:rsidR="005C615E" w:rsidRPr="00E80C32" w:rsidRDefault="005C615E" w:rsidP="00DF4441"/>
        </w:tc>
        <w:tc>
          <w:tcPr>
            <w:tcW w:w="6546" w:type="dxa"/>
            <w:tcBorders>
              <w:top w:val="nil"/>
              <w:left w:val="single" w:sz="8" w:space="0" w:color="54B948"/>
              <w:bottom w:val="nil"/>
              <w:right w:val="single" w:sz="8" w:space="0" w:color="54B948"/>
            </w:tcBorders>
            <w:shd w:val="clear" w:color="auto" w:fill="DEDFDE"/>
            <w:tcMar>
              <w:top w:w="173" w:type="dxa"/>
              <w:left w:w="259" w:type="dxa"/>
              <w:bottom w:w="173" w:type="dxa"/>
              <w:right w:w="259" w:type="dxa"/>
            </w:tcMar>
          </w:tcPr>
          <w:p w14:paraId="27686CE0" w14:textId="77777777" w:rsidR="005C615E" w:rsidRDefault="005C615E" w:rsidP="005C615E">
            <w:pPr>
              <w:pStyle w:val="Subhead"/>
            </w:pPr>
            <w:proofErr w:type="spellStart"/>
            <w:r>
              <w:t>Contexte</w:t>
            </w:r>
            <w:proofErr w:type="spellEnd"/>
            <w:r>
              <w:t xml:space="preserve"> </w:t>
            </w:r>
            <w:proofErr w:type="spellStart"/>
            <w:proofErr w:type="gramStart"/>
            <w:r>
              <w:t>d’apprentissage</w:t>
            </w:r>
            <w:proofErr w:type="spellEnd"/>
            <w:r>
              <w:t xml:space="preserve"> :</w:t>
            </w:r>
            <w:proofErr w:type="gramEnd"/>
          </w:p>
          <w:p w14:paraId="6C25960E" w14:textId="77777777" w:rsidR="005C615E" w:rsidRPr="009B6806" w:rsidRDefault="005C615E" w:rsidP="005C615E">
            <w:pPr>
              <w:pStyle w:val="Bullet"/>
            </w:pPr>
            <w:proofErr w:type="spellStart"/>
            <w:r w:rsidRPr="009B6806">
              <w:t>Assurez-vous</w:t>
            </w:r>
            <w:proofErr w:type="spellEnd"/>
            <w:r w:rsidRPr="009B6806">
              <w:t xml:space="preserve"> que les </w:t>
            </w:r>
            <w:proofErr w:type="spellStart"/>
            <w:r w:rsidRPr="009B6806">
              <w:t>élèves</w:t>
            </w:r>
            <w:proofErr w:type="spellEnd"/>
            <w:r w:rsidRPr="009B6806">
              <w:t xml:space="preserve"> </w:t>
            </w:r>
            <w:proofErr w:type="spellStart"/>
            <w:r w:rsidRPr="009B6806">
              <w:t>comprennent</w:t>
            </w:r>
            <w:proofErr w:type="spellEnd"/>
            <w:r w:rsidRPr="009B6806">
              <w:t xml:space="preserve"> </w:t>
            </w:r>
            <w:proofErr w:type="spellStart"/>
            <w:r w:rsidRPr="009B6806">
              <w:t>ce</w:t>
            </w:r>
            <w:proofErr w:type="spellEnd"/>
            <w:r w:rsidRPr="009B6806">
              <w:t xml:space="preserve"> </w:t>
            </w:r>
            <w:proofErr w:type="spellStart"/>
            <w:r w:rsidRPr="009B6806">
              <w:t>qu</w:t>
            </w:r>
            <w:r>
              <w:t>’</w:t>
            </w:r>
            <w:r w:rsidRPr="009B6806">
              <w:t>est</w:t>
            </w:r>
            <w:proofErr w:type="spellEnd"/>
            <w:r w:rsidRPr="009B6806">
              <w:t xml:space="preserve"> </w:t>
            </w:r>
            <w:proofErr w:type="spellStart"/>
            <w:r w:rsidRPr="009B6806">
              <w:t>une</w:t>
            </w:r>
            <w:proofErr w:type="spellEnd"/>
            <w:r w:rsidRPr="009B6806">
              <w:t xml:space="preserve"> action (</w:t>
            </w:r>
            <w:proofErr w:type="spellStart"/>
            <w:r w:rsidRPr="009B6806">
              <w:t>une</w:t>
            </w:r>
            <w:proofErr w:type="spellEnd"/>
            <w:r w:rsidRPr="009B6806">
              <w:t xml:space="preserve"> fraction </w:t>
            </w:r>
            <w:proofErr w:type="spellStart"/>
            <w:r w:rsidRPr="009B6806">
              <w:t>d</w:t>
            </w:r>
            <w:r>
              <w:t>’</w:t>
            </w:r>
            <w:r w:rsidRPr="009B6806">
              <w:t>une</w:t>
            </w:r>
            <w:proofErr w:type="spellEnd"/>
            <w:r w:rsidRPr="009B6806">
              <w:t xml:space="preserve"> </w:t>
            </w:r>
            <w:proofErr w:type="spellStart"/>
            <w:r w:rsidRPr="009B6806">
              <w:t>entreprise</w:t>
            </w:r>
            <w:proofErr w:type="spellEnd"/>
            <w:r w:rsidRPr="009B6806">
              <w:t xml:space="preserve">). </w:t>
            </w:r>
            <w:proofErr w:type="spellStart"/>
            <w:r w:rsidRPr="009B6806">
              <w:t>Vous</w:t>
            </w:r>
            <w:proofErr w:type="spellEnd"/>
            <w:r w:rsidRPr="009B6806">
              <w:t xml:space="preserve"> </w:t>
            </w:r>
            <w:proofErr w:type="spellStart"/>
            <w:r>
              <w:t>devrez</w:t>
            </w:r>
            <w:proofErr w:type="spellEnd"/>
            <w:r>
              <w:t xml:space="preserve"> </w:t>
            </w:r>
            <w:proofErr w:type="spellStart"/>
            <w:r>
              <w:t>peut-être</w:t>
            </w:r>
            <w:proofErr w:type="spellEnd"/>
            <w:r>
              <w:t xml:space="preserve"> </w:t>
            </w:r>
            <w:proofErr w:type="spellStart"/>
            <w:r>
              <w:t>leur</w:t>
            </w:r>
            <w:proofErr w:type="spellEnd"/>
            <w:r w:rsidRPr="009B6806">
              <w:t xml:space="preserve"> </w:t>
            </w:r>
            <w:proofErr w:type="spellStart"/>
            <w:r w:rsidRPr="009B6806">
              <w:t>enseigner</w:t>
            </w:r>
            <w:proofErr w:type="spellEnd"/>
            <w:r w:rsidRPr="009B6806">
              <w:t xml:space="preserve"> </w:t>
            </w:r>
            <w:proofErr w:type="spellStart"/>
            <w:r w:rsidRPr="009B6806">
              <w:t>ce</w:t>
            </w:r>
            <w:proofErr w:type="spellEnd"/>
            <w:r w:rsidRPr="009B6806">
              <w:t xml:space="preserve"> que </w:t>
            </w:r>
            <w:proofErr w:type="spellStart"/>
            <w:r w:rsidRPr="009B6806">
              <w:t>sont</w:t>
            </w:r>
            <w:proofErr w:type="spellEnd"/>
            <w:r w:rsidRPr="009B6806">
              <w:t xml:space="preserve"> les actions </w:t>
            </w:r>
            <w:proofErr w:type="spellStart"/>
            <w:r w:rsidRPr="009B6806">
              <w:t>avant</w:t>
            </w:r>
            <w:proofErr w:type="spellEnd"/>
            <w:r w:rsidRPr="009B6806">
              <w:t xml:space="preserve"> de commencer </w:t>
            </w:r>
            <w:proofErr w:type="spellStart"/>
            <w:r w:rsidRPr="009B6806">
              <w:t>cette</w:t>
            </w:r>
            <w:proofErr w:type="spellEnd"/>
            <w:r w:rsidRPr="009B6806">
              <w:t xml:space="preserve"> </w:t>
            </w:r>
            <w:proofErr w:type="spellStart"/>
            <w:r w:rsidRPr="009B6806">
              <w:t>leçon</w:t>
            </w:r>
            <w:proofErr w:type="spellEnd"/>
            <w:r w:rsidRPr="009B6806">
              <w:t>.</w:t>
            </w:r>
          </w:p>
          <w:p w14:paraId="78FA7844" w14:textId="77777777" w:rsidR="005C615E" w:rsidRPr="009B6806" w:rsidRDefault="005C615E" w:rsidP="005C615E">
            <w:pPr>
              <w:pStyle w:val="Bullet"/>
            </w:pPr>
            <w:r w:rsidRPr="009B6806">
              <w:t xml:space="preserve">Les </w:t>
            </w:r>
            <w:proofErr w:type="spellStart"/>
            <w:r>
              <w:t>élèves</w:t>
            </w:r>
            <w:proofErr w:type="spellEnd"/>
            <w:r w:rsidRPr="009B6806">
              <w:t xml:space="preserve"> </w:t>
            </w:r>
            <w:proofErr w:type="spellStart"/>
            <w:r w:rsidRPr="009B6806">
              <w:t>doivent</w:t>
            </w:r>
            <w:proofErr w:type="spellEnd"/>
            <w:r w:rsidRPr="009B6806">
              <w:t xml:space="preserve"> </w:t>
            </w:r>
            <w:proofErr w:type="spellStart"/>
            <w:r w:rsidRPr="009B6806">
              <w:t>avoir</w:t>
            </w:r>
            <w:proofErr w:type="spellEnd"/>
            <w:r w:rsidRPr="009B6806">
              <w:t xml:space="preserve"> </w:t>
            </w:r>
            <w:proofErr w:type="spellStart"/>
            <w:r w:rsidRPr="009B6806">
              <w:t>une</w:t>
            </w:r>
            <w:proofErr w:type="spellEnd"/>
            <w:r w:rsidRPr="009B6806">
              <w:t xml:space="preserve"> </w:t>
            </w:r>
            <w:proofErr w:type="spellStart"/>
            <w:r w:rsidRPr="009B6806">
              <w:t>solide</w:t>
            </w:r>
            <w:proofErr w:type="spellEnd"/>
            <w:r w:rsidRPr="009B6806">
              <w:t xml:space="preserve"> </w:t>
            </w:r>
            <w:proofErr w:type="spellStart"/>
            <w:r w:rsidRPr="009B6806">
              <w:t>compréhension</w:t>
            </w:r>
            <w:proofErr w:type="spellEnd"/>
            <w:r w:rsidRPr="009B6806">
              <w:t xml:space="preserve"> des fractions.</w:t>
            </w:r>
          </w:p>
          <w:p w14:paraId="75CCADBE" w14:textId="3BE4B92C" w:rsidR="005C615E" w:rsidRPr="1AC6B3EC" w:rsidRDefault="005C615E" w:rsidP="005C615E">
            <w:pPr>
              <w:pStyle w:val="Bullet"/>
            </w:pPr>
            <w:r w:rsidRPr="009B6806">
              <w:t xml:space="preserve">Les </w:t>
            </w:r>
            <w:proofErr w:type="spellStart"/>
            <w:r w:rsidRPr="009B6806">
              <w:t>élèves</w:t>
            </w:r>
            <w:proofErr w:type="spellEnd"/>
            <w:r w:rsidRPr="009B6806">
              <w:t xml:space="preserve"> </w:t>
            </w:r>
            <w:proofErr w:type="spellStart"/>
            <w:r w:rsidRPr="009B6806">
              <w:t>doivent</w:t>
            </w:r>
            <w:proofErr w:type="spellEnd"/>
            <w:r w:rsidRPr="009B6806">
              <w:t xml:space="preserve"> </w:t>
            </w:r>
            <w:proofErr w:type="spellStart"/>
            <w:r w:rsidRPr="009B6806">
              <w:t>être</w:t>
            </w:r>
            <w:proofErr w:type="spellEnd"/>
            <w:r w:rsidRPr="009B6806">
              <w:t xml:space="preserve"> </w:t>
            </w:r>
            <w:proofErr w:type="spellStart"/>
            <w:r w:rsidRPr="009B6806">
              <w:t>familiarisés</w:t>
            </w:r>
            <w:proofErr w:type="spellEnd"/>
            <w:r w:rsidRPr="009B6806">
              <w:t xml:space="preserve"> avec la </w:t>
            </w:r>
            <w:proofErr w:type="spellStart"/>
            <w:r w:rsidRPr="009B6806">
              <w:t>création</w:t>
            </w:r>
            <w:proofErr w:type="spellEnd"/>
            <w:r w:rsidRPr="009B6806">
              <w:t xml:space="preserve"> de </w:t>
            </w:r>
            <w:proofErr w:type="spellStart"/>
            <w:r w:rsidRPr="009B6806">
              <w:t>graphiques</w:t>
            </w:r>
            <w:proofErr w:type="spellEnd"/>
            <w:r w:rsidRPr="009B6806">
              <w:t xml:space="preserve"> </w:t>
            </w:r>
            <w:proofErr w:type="spellStart"/>
            <w:r w:rsidRPr="009B6806">
              <w:t>linéaires</w:t>
            </w:r>
            <w:proofErr w:type="spellEnd"/>
            <w:r w:rsidRPr="009B6806">
              <w:t>.</w:t>
            </w:r>
          </w:p>
        </w:tc>
        <w:tc>
          <w:tcPr>
            <w:tcW w:w="3144" w:type="dxa"/>
            <w:gridSpan w:val="2"/>
            <w:tcBorders>
              <w:top w:val="nil"/>
              <w:left w:val="single" w:sz="8" w:space="0" w:color="54B948"/>
              <w:bottom w:val="nil"/>
              <w:right w:val="single" w:sz="8" w:space="0" w:color="54B948"/>
            </w:tcBorders>
            <w:shd w:val="clear" w:color="auto" w:fill="auto"/>
            <w:tcMar>
              <w:top w:w="173" w:type="dxa"/>
              <w:left w:w="259" w:type="dxa"/>
              <w:right w:w="115" w:type="dxa"/>
            </w:tcMar>
          </w:tcPr>
          <w:p w14:paraId="48323E72" w14:textId="77777777" w:rsidR="005C615E" w:rsidRPr="00F75708" w:rsidRDefault="005C615E" w:rsidP="00DF4441">
            <w:pPr>
              <w:pStyle w:val="Copy"/>
            </w:pPr>
          </w:p>
        </w:tc>
      </w:tr>
      <w:tr w:rsidR="00110B8E" w:rsidRPr="00FC75BD" w14:paraId="204D86EE" w14:textId="77777777" w:rsidTr="005C615E">
        <w:trPr>
          <w:trHeight w:val="432"/>
        </w:trPr>
        <w:tc>
          <w:tcPr>
            <w:tcW w:w="10784" w:type="dxa"/>
            <w:gridSpan w:val="4"/>
            <w:tcBorders>
              <w:top w:val="nil"/>
              <w:left w:val="single" w:sz="8" w:space="0" w:color="3F708E"/>
              <w:bottom w:val="nil"/>
              <w:right w:val="single" w:sz="8" w:space="0" w:color="3F708E"/>
            </w:tcBorders>
            <w:shd w:val="clear" w:color="auto" w:fill="3F708E"/>
            <w:vAlign w:val="center"/>
          </w:tcPr>
          <w:p w14:paraId="38F4BEEE" w14:textId="3EA25585" w:rsidR="00110B8E" w:rsidRPr="00110B8E" w:rsidRDefault="00B92236" w:rsidP="00071EC5">
            <w:pPr>
              <w:pStyle w:val="SectionHeading"/>
              <w:rPr>
                <w:b w:val="0"/>
              </w:rPr>
            </w:pPr>
            <w:r>
              <w:t>ACTION</w:t>
            </w:r>
          </w:p>
        </w:tc>
      </w:tr>
      <w:tr w:rsidR="00B92236" w:rsidRPr="004365A8" w14:paraId="671F52D0" w14:textId="77777777" w:rsidTr="00B92236">
        <w:trPr>
          <w:trHeight w:val="20"/>
        </w:trPr>
        <w:tc>
          <w:tcPr>
            <w:tcW w:w="1094" w:type="dxa"/>
            <w:tcBorders>
              <w:top w:val="nil"/>
              <w:left w:val="single" w:sz="8" w:space="0" w:color="54B948"/>
              <w:bottom w:val="single" w:sz="8" w:space="0" w:color="54B948"/>
              <w:right w:val="single" w:sz="8" w:space="0" w:color="54B948"/>
            </w:tcBorders>
            <w:tcMar>
              <w:top w:w="173" w:type="dxa"/>
              <w:left w:w="72" w:type="dxa"/>
              <w:right w:w="72" w:type="dxa"/>
            </w:tcMar>
          </w:tcPr>
          <w:p w14:paraId="593E2377" w14:textId="74134D61" w:rsidR="00B92236" w:rsidRDefault="00B92236" w:rsidP="005C615E">
            <w:pPr>
              <w:pStyle w:val="CopyCentred"/>
            </w:pPr>
            <w:r w:rsidRPr="00B92236">
              <w:rPr>
                <w:lang w:val="en-US"/>
              </w:rPr>
              <w:t>50</w:t>
            </w:r>
            <w:r w:rsidR="005C615E">
              <w:rPr>
                <w:lang w:val="en-US"/>
              </w:rPr>
              <w:t xml:space="preserve"> à </w:t>
            </w:r>
            <w:r w:rsidRPr="00B92236">
              <w:rPr>
                <w:lang w:val="en-US"/>
              </w:rPr>
              <w:t>60 minutes</w:t>
            </w:r>
          </w:p>
        </w:tc>
        <w:tc>
          <w:tcPr>
            <w:tcW w:w="6552"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48642A3F" w14:textId="77777777" w:rsidR="005C615E" w:rsidRPr="005C615E" w:rsidRDefault="005C615E" w:rsidP="005C615E">
            <w:pPr>
              <w:pStyle w:val="ClassHeading"/>
              <w:rPr>
                <w:lang w:val="fr-CA"/>
              </w:rPr>
            </w:pPr>
            <w:r w:rsidRPr="005C615E">
              <w:rPr>
                <w:lang w:val="fr-CA"/>
              </w:rPr>
              <w:t>PETITS GROUPES</w:t>
            </w:r>
          </w:p>
          <w:p w14:paraId="3ECDBE37" w14:textId="77777777" w:rsidR="005C615E" w:rsidRPr="005C615E" w:rsidRDefault="005C615E" w:rsidP="005C615E">
            <w:pPr>
              <w:pStyle w:val="Copy"/>
              <w:rPr>
                <w:lang w:val="fr-CA"/>
              </w:rPr>
            </w:pPr>
            <w:r w:rsidRPr="005C615E">
              <w:rPr>
                <w:lang w:val="fr-CA"/>
              </w:rPr>
              <w:t xml:space="preserve">Demandez aux élèves de choisir trois sociétés cotées en bourse et un compte bancaire ou </w:t>
            </w:r>
            <w:proofErr w:type="spellStart"/>
            <w:r w:rsidRPr="005C615E">
              <w:rPr>
                <w:lang w:val="fr-CA"/>
              </w:rPr>
              <w:t>CPG</w:t>
            </w:r>
            <w:proofErr w:type="spellEnd"/>
            <w:r w:rsidRPr="005C615E">
              <w:rPr>
                <w:lang w:val="fr-CA"/>
              </w:rPr>
              <w:t>. Expliquez aux élèves que vous comparerez le rendement total de chaque entreprise et compte bancaire (</w:t>
            </w:r>
            <w:proofErr w:type="spellStart"/>
            <w:r w:rsidRPr="005C615E">
              <w:rPr>
                <w:lang w:val="fr-CA"/>
              </w:rPr>
              <w:t>CPG</w:t>
            </w:r>
            <w:proofErr w:type="spellEnd"/>
            <w:r w:rsidRPr="005C615E">
              <w:rPr>
                <w:lang w:val="fr-CA"/>
              </w:rPr>
              <w:t>) pendant l’année dernière. Ils recevront un montant virtuel de 100</w:t>
            </w:r>
            <w:r w:rsidRPr="005C615E">
              <w:rPr>
                <w:rFonts w:ascii="Calibri" w:eastAsia="Calibri" w:hAnsi="Calibri" w:cs="Calibri"/>
                <w:lang w:val="fr-CA"/>
              </w:rPr>
              <w:t> </w:t>
            </w:r>
            <w:r w:rsidRPr="005C615E">
              <w:rPr>
                <w:lang w:val="fr-CA"/>
              </w:rPr>
              <w:t>000 $ pour investir dans chacun des deux comptes. Ils compareront le résultat final au cours de la dernière année.</w:t>
            </w:r>
          </w:p>
          <w:p w14:paraId="76071B32" w14:textId="77777777" w:rsidR="005C615E" w:rsidRPr="005C615E" w:rsidRDefault="005C615E" w:rsidP="005C615E">
            <w:pPr>
              <w:pStyle w:val="Copy"/>
              <w:rPr>
                <w:lang w:val="fr-CA"/>
              </w:rPr>
            </w:pPr>
            <w:r w:rsidRPr="005C615E">
              <w:rPr>
                <w:lang w:val="fr-CA"/>
              </w:rPr>
              <w:t>Donnez aux élèves des ensembles de données (ou demandez-leur de rechercher des données sur l’un des sites recommandés) pour les ensembles de trois actions communes et pour les taux d’intérêt des comptes bancaires pour les 12 derniers mois.</w:t>
            </w:r>
          </w:p>
          <w:p w14:paraId="302156F5" w14:textId="62172080" w:rsidR="00B92236" w:rsidRPr="005C615E" w:rsidRDefault="005C615E" w:rsidP="00B92236">
            <w:pPr>
              <w:pStyle w:val="Copy"/>
              <w:rPr>
                <w:lang w:val="fr-CA"/>
              </w:rPr>
            </w:pPr>
            <w:r w:rsidRPr="005C615E">
              <w:rPr>
                <w:lang w:val="fr-CA"/>
              </w:rPr>
              <w:t>Créez un brouillon puis transférez-le sur un papier millimétrique avec des marqueurs (ou des programmes graphiques sur ordinateur). Les élèves feront un graphique linéaire comparant les rendements des actions et d’un compte bancaire (</w:t>
            </w:r>
            <w:proofErr w:type="spellStart"/>
            <w:r w:rsidRPr="005C615E">
              <w:rPr>
                <w:lang w:val="fr-CA"/>
              </w:rPr>
              <w:t>CPG</w:t>
            </w:r>
            <w:proofErr w:type="spellEnd"/>
            <w:r w:rsidRPr="005C615E">
              <w:rPr>
                <w:lang w:val="fr-CA"/>
              </w:rPr>
              <w:t>) en suivant l’évolution du prix au fil du temps (une année). Ils mettront les lignes sur le même graphique, en différenciant les graphiques par couleur. Calculez le rendement total des actions (y compris les dividendes, le cas échéant) et le rendement total du compte bancaire.</w:t>
            </w:r>
          </w:p>
        </w:tc>
        <w:tc>
          <w:tcPr>
            <w:tcW w:w="3138" w:type="dxa"/>
            <w:tcBorders>
              <w:top w:val="nil"/>
              <w:left w:val="single" w:sz="8" w:space="0" w:color="54B948"/>
              <w:bottom w:val="single" w:sz="8" w:space="0" w:color="54B948"/>
              <w:right w:val="single" w:sz="8" w:space="0" w:color="54B948"/>
            </w:tcBorders>
            <w:tcMar>
              <w:top w:w="173" w:type="dxa"/>
              <w:left w:w="259" w:type="dxa"/>
              <w:right w:w="115" w:type="dxa"/>
            </w:tcMar>
          </w:tcPr>
          <w:p w14:paraId="47762F2D" w14:textId="77777777" w:rsidR="005C615E" w:rsidRPr="005C615E" w:rsidRDefault="005C615E" w:rsidP="005C615E">
            <w:pPr>
              <w:pStyle w:val="Copy"/>
              <w:rPr>
                <w:lang w:val="fr-CA"/>
              </w:rPr>
            </w:pPr>
            <w:r w:rsidRPr="005C615E">
              <w:rPr>
                <w:lang w:val="fr-CA"/>
              </w:rPr>
              <w:t xml:space="preserve">Tâche de rendement : créez un graphique comparant les rendements de trois actions et un compte bancaire ou un </w:t>
            </w:r>
            <w:proofErr w:type="spellStart"/>
            <w:r w:rsidRPr="005C615E">
              <w:rPr>
                <w:lang w:val="fr-CA"/>
              </w:rPr>
              <w:t>CPG</w:t>
            </w:r>
            <w:proofErr w:type="spellEnd"/>
            <w:r w:rsidRPr="005C615E">
              <w:rPr>
                <w:lang w:val="fr-CA"/>
              </w:rPr>
              <w:t>. (Annexe A). Répondez aux questions suivantes :</w:t>
            </w:r>
          </w:p>
          <w:p w14:paraId="1BFCA798" w14:textId="77777777" w:rsidR="005C615E" w:rsidRPr="005C615E" w:rsidRDefault="005C615E" w:rsidP="005C615E">
            <w:pPr>
              <w:pStyle w:val="NumberedList"/>
              <w:numPr>
                <w:ilvl w:val="0"/>
                <w:numId w:val="13"/>
              </w:numPr>
              <w:ind w:left="259" w:hanging="259"/>
            </w:pPr>
            <w:proofErr w:type="spellStart"/>
            <w:r w:rsidRPr="005C615E">
              <w:t>Lequel</w:t>
            </w:r>
            <w:proofErr w:type="spellEnd"/>
            <w:r w:rsidRPr="005C615E">
              <w:t xml:space="preserve"> des </w:t>
            </w:r>
            <w:proofErr w:type="spellStart"/>
            <w:r w:rsidRPr="005C615E">
              <w:t>deux</w:t>
            </w:r>
            <w:proofErr w:type="spellEnd"/>
            <w:r w:rsidRPr="005C615E">
              <w:t xml:space="preserve"> </w:t>
            </w:r>
            <w:proofErr w:type="spellStart"/>
            <w:r w:rsidRPr="005C615E">
              <w:t>investissements</w:t>
            </w:r>
            <w:proofErr w:type="spellEnd"/>
            <w:r w:rsidRPr="005C615E">
              <w:t xml:space="preserve"> (</w:t>
            </w:r>
            <w:proofErr w:type="spellStart"/>
            <w:r w:rsidRPr="005C615E">
              <w:t>moyenne</w:t>
            </w:r>
            <w:proofErr w:type="spellEnd"/>
            <w:r w:rsidRPr="005C615E">
              <w:t xml:space="preserve"> des actions </w:t>
            </w:r>
            <w:proofErr w:type="spellStart"/>
            <w:r w:rsidRPr="005C615E">
              <w:t>ou</w:t>
            </w:r>
            <w:proofErr w:type="spellEnd"/>
            <w:r w:rsidRPr="005C615E">
              <w:t xml:space="preserve"> </w:t>
            </w:r>
            <w:proofErr w:type="spellStart"/>
            <w:r w:rsidRPr="005C615E">
              <w:t>compte</w:t>
            </w:r>
            <w:proofErr w:type="spellEnd"/>
            <w:r w:rsidRPr="005C615E">
              <w:t xml:space="preserve"> </w:t>
            </w:r>
            <w:proofErr w:type="spellStart"/>
            <w:r w:rsidRPr="005C615E">
              <w:t>bancaire</w:t>
            </w:r>
            <w:proofErr w:type="spellEnd"/>
            <w:r w:rsidRPr="005C615E">
              <w:t xml:space="preserve"> (</w:t>
            </w:r>
            <w:proofErr w:type="spellStart"/>
            <w:r w:rsidRPr="005C615E">
              <w:t>GIC</w:t>
            </w:r>
            <w:proofErr w:type="spellEnd"/>
            <w:r w:rsidRPr="005C615E">
              <w:t xml:space="preserve">)) a le </w:t>
            </w:r>
            <w:proofErr w:type="spellStart"/>
            <w:r w:rsidRPr="005C615E">
              <w:t>meilleur</w:t>
            </w:r>
            <w:proofErr w:type="spellEnd"/>
            <w:r w:rsidRPr="005C615E">
              <w:t xml:space="preserve"> </w:t>
            </w:r>
            <w:proofErr w:type="spellStart"/>
            <w:proofErr w:type="gramStart"/>
            <w:r w:rsidRPr="005C615E">
              <w:t>rendement</w:t>
            </w:r>
            <w:proofErr w:type="spellEnd"/>
            <w:r w:rsidRPr="005C615E">
              <w:t xml:space="preserve"> ?</w:t>
            </w:r>
            <w:proofErr w:type="gramEnd"/>
          </w:p>
          <w:p w14:paraId="46B62851" w14:textId="77777777" w:rsidR="005C615E" w:rsidRPr="005C615E" w:rsidRDefault="005C615E" w:rsidP="005C615E">
            <w:pPr>
              <w:pStyle w:val="NumberedList"/>
            </w:pPr>
            <w:proofErr w:type="spellStart"/>
            <w:r w:rsidRPr="005C615E">
              <w:t>Lequel</w:t>
            </w:r>
            <w:proofErr w:type="spellEnd"/>
            <w:r w:rsidRPr="005C615E">
              <w:t xml:space="preserve"> des </w:t>
            </w:r>
            <w:proofErr w:type="spellStart"/>
            <w:r w:rsidRPr="005C615E">
              <w:t>deux</w:t>
            </w:r>
            <w:proofErr w:type="spellEnd"/>
            <w:r w:rsidRPr="005C615E">
              <w:t xml:space="preserve"> </w:t>
            </w:r>
            <w:proofErr w:type="spellStart"/>
            <w:r w:rsidRPr="005C615E">
              <w:t>investissements</w:t>
            </w:r>
            <w:proofErr w:type="spellEnd"/>
            <w:r w:rsidRPr="005C615E">
              <w:t xml:space="preserve"> </w:t>
            </w:r>
            <w:proofErr w:type="spellStart"/>
            <w:r w:rsidRPr="005C615E">
              <w:t>est</w:t>
            </w:r>
            <w:proofErr w:type="spellEnd"/>
            <w:r w:rsidRPr="005C615E">
              <w:t xml:space="preserve"> le plus </w:t>
            </w:r>
            <w:proofErr w:type="gramStart"/>
            <w:r w:rsidRPr="005C615E">
              <w:t>risqué ?</w:t>
            </w:r>
            <w:proofErr w:type="gramEnd"/>
          </w:p>
          <w:p w14:paraId="55358ACF" w14:textId="77777777" w:rsidR="005C615E" w:rsidRPr="005C615E" w:rsidRDefault="005C615E" w:rsidP="005C615E">
            <w:pPr>
              <w:pStyle w:val="Copy"/>
              <w:rPr>
                <w:lang w:val="fr-CA"/>
              </w:rPr>
            </w:pPr>
            <w:r w:rsidRPr="005C615E">
              <w:rPr>
                <w:lang w:val="fr-CA"/>
              </w:rPr>
              <w:t>Dans lequel choisiriez-vous investir ?</w:t>
            </w:r>
          </w:p>
          <w:p w14:paraId="021B09CF" w14:textId="77777777" w:rsidR="005C615E" w:rsidRPr="005C615E" w:rsidRDefault="005C615E" w:rsidP="005C615E">
            <w:pPr>
              <w:pStyle w:val="Copy"/>
              <w:rPr>
                <w:lang w:val="fr-CA"/>
              </w:rPr>
            </w:pPr>
          </w:p>
          <w:p w14:paraId="0A11C781" w14:textId="6253FF2C" w:rsidR="00B92236" w:rsidRPr="00B92236" w:rsidRDefault="005C615E" w:rsidP="005C615E">
            <w:pPr>
              <w:pStyle w:val="Copy"/>
            </w:pPr>
            <w:r w:rsidRPr="005C615E">
              <w:rPr>
                <w:lang w:val="en-US"/>
              </w:rPr>
              <w:t>Auto-</w:t>
            </w:r>
            <w:proofErr w:type="spellStart"/>
            <w:r w:rsidRPr="005C615E">
              <w:rPr>
                <w:lang w:val="en-US"/>
              </w:rPr>
              <w:t>évaluation</w:t>
            </w:r>
            <w:proofErr w:type="spellEnd"/>
            <w:r w:rsidRPr="005C615E">
              <w:rPr>
                <w:lang w:val="en-US"/>
              </w:rPr>
              <w:t>/</w:t>
            </w:r>
            <w:proofErr w:type="spellStart"/>
            <w:r w:rsidRPr="005C615E">
              <w:rPr>
                <w:lang w:val="en-US"/>
              </w:rPr>
              <w:t>Réflexion</w:t>
            </w:r>
            <w:proofErr w:type="spellEnd"/>
          </w:p>
        </w:tc>
      </w:tr>
    </w:tbl>
    <w:p w14:paraId="0E285D7A" w14:textId="1921859D" w:rsidR="005C615E" w:rsidRDefault="005C615E">
      <w:pPr>
        <w:rPr>
          <w:rFonts w:ascii="Verdana" w:hAnsi="Verdana" w:cs="Arial"/>
          <w:sz w:val="36"/>
          <w:szCs w:val="36"/>
        </w:rPr>
      </w:pPr>
    </w:p>
    <w:tbl>
      <w:tblPr>
        <w:tblStyle w:val="TableGrid"/>
        <w:tblW w:w="10794" w:type="dxa"/>
        <w:tblInd w:w="-10" w:type="dxa"/>
        <w:tblLayout w:type="fixed"/>
        <w:tblLook w:val="04A0" w:firstRow="1" w:lastRow="0" w:firstColumn="1" w:lastColumn="0" w:noHBand="0" w:noVBand="1"/>
      </w:tblPr>
      <w:tblGrid>
        <w:gridCol w:w="10"/>
        <w:gridCol w:w="1074"/>
        <w:gridCol w:w="20"/>
        <w:gridCol w:w="6546"/>
        <w:gridCol w:w="6"/>
        <w:gridCol w:w="3138"/>
      </w:tblGrid>
      <w:tr w:rsidR="005C615E" w:rsidRPr="00FC75BD" w14:paraId="657E45F6" w14:textId="77777777" w:rsidTr="005C615E">
        <w:trPr>
          <w:gridBefore w:val="1"/>
          <w:wBefore w:w="10" w:type="dxa"/>
          <w:trHeight w:val="1584"/>
          <w:tblHeader/>
        </w:trPr>
        <w:tc>
          <w:tcPr>
            <w:tcW w:w="1094" w:type="dxa"/>
            <w:gridSpan w:val="2"/>
            <w:tcBorders>
              <w:top w:val="single" w:sz="8" w:space="0" w:color="54B948"/>
              <w:left w:val="single" w:sz="8" w:space="0" w:color="54B948"/>
              <w:bottom w:val="single" w:sz="8" w:space="0" w:color="54B948"/>
              <w:right w:val="single" w:sz="8" w:space="0" w:color="FFFFFF" w:themeColor="background1"/>
            </w:tcBorders>
            <w:shd w:val="clear" w:color="auto" w:fill="54B948"/>
          </w:tcPr>
          <w:p w14:paraId="0C5F7E2A" w14:textId="77777777" w:rsidR="005C615E" w:rsidRPr="00FC75BD" w:rsidRDefault="005C615E" w:rsidP="00B767A8">
            <w:pPr>
              <w:jc w:val="center"/>
              <w:rPr>
                <w:rFonts w:ascii="Verdana" w:hAnsi="Verdana" w:cs="Arial"/>
                <w:b/>
                <w:bCs/>
                <w:color w:val="FFFFFF" w:themeColor="background1"/>
                <w:sz w:val="20"/>
                <w:szCs w:val="20"/>
              </w:rPr>
            </w:pPr>
            <w:proofErr w:type="spellStart"/>
            <w:r>
              <w:rPr>
                <w:rFonts w:ascii="Verdana" w:hAnsi="Verdana"/>
                <w:b/>
                <w:color w:val="FFFFFF" w:themeColor="background1"/>
                <w:sz w:val="20"/>
              </w:rPr>
              <w:lastRenderedPageBreak/>
              <w:t>Durée</w:t>
            </w:r>
            <w:proofErr w:type="spellEnd"/>
          </w:p>
          <w:p w14:paraId="4677BFCA" w14:textId="77777777" w:rsidR="005C615E" w:rsidRPr="00FC75BD" w:rsidRDefault="005C615E" w:rsidP="00B767A8">
            <w:pPr>
              <w:jc w:val="center"/>
              <w:rPr>
                <w:rFonts w:ascii="Verdana" w:hAnsi="Verdana" w:cs="Arial"/>
                <w:color w:val="FFFFFF" w:themeColor="background1"/>
                <w:sz w:val="20"/>
                <w:szCs w:val="20"/>
              </w:rPr>
            </w:pPr>
            <w:r>
              <w:rPr>
                <w:rFonts w:ascii="Verdana" w:hAnsi="Verdana"/>
                <w:color w:val="FFFFFF" w:themeColor="background1"/>
                <w:sz w:val="20"/>
              </w:rPr>
              <w:t>(min.)</w:t>
            </w:r>
          </w:p>
        </w:tc>
        <w:tc>
          <w:tcPr>
            <w:tcW w:w="6552" w:type="dxa"/>
            <w:gridSpan w:val="2"/>
            <w:tcBorders>
              <w:top w:val="single" w:sz="8" w:space="0" w:color="54B948"/>
              <w:left w:val="single" w:sz="8" w:space="0" w:color="FFFFFF" w:themeColor="background1"/>
              <w:bottom w:val="single" w:sz="8" w:space="0" w:color="54B948"/>
              <w:right w:val="single" w:sz="8" w:space="0" w:color="FFFFFF" w:themeColor="background1"/>
            </w:tcBorders>
            <w:shd w:val="clear" w:color="auto" w:fill="54B948"/>
            <w:tcMar>
              <w:left w:w="259" w:type="dxa"/>
              <w:right w:w="115" w:type="dxa"/>
            </w:tcMar>
          </w:tcPr>
          <w:p w14:paraId="7B057A80" w14:textId="77777777" w:rsidR="005C615E" w:rsidRPr="00FC75BD" w:rsidRDefault="005C615E" w:rsidP="00B767A8">
            <w:pPr>
              <w:rPr>
                <w:rFonts w:ascii="Verdana" w:hAnsi="Verdana" w:cs="Arial"/>
                <w:b/>
                <w:color w:val="FFFFFF" w:themeColor="background1"/>
                <w:sz w:val="20"/>
                <w:szCs w:val="20"/>
              </w:rPr>
            </w:pPr>
            <w:proofErr w:type="spellStart"/>
            <w:r>
              <w:rPr>
                <w:rFonts w:ascii="Verdana" w:hAnsi="Verdana"/>
                <w:b/>
                <w:color w:val="FFFFFF" w:themeColor="background1"/>
                <w:sz w:val="20"/>
              </w:rPr>
              <w:t>Déroulement</w:t>
            </w:r>
            <w:proofErr w:type="spellEnd"/>
            <w:r>
              <w:rPr>
                <w:rFonts w:ascii="Verdana" w:hAnsi="Verdana"/>
                <w:b/>
                <w:color w:val="FFFFFF" w:themeColor="background1"/>
                <w:sz w:val="20"/>
              </w:rPr>
              <w:t xml:space="preserve"> de la </w:t>
            </w:r>
            <w:proofErr w:type="spellStart"/>
            <w:r>
              <w:rPr>
                <w:rFonts w:ascii="Verdana" w:hAnsi="Verdana"/>
                <w:b/>
                <w:color w:val="FFFFFF" w:themeColor="background1"/>
                <w:sz w:val="20"/>
              </w:rPr>
              <w:t>leçon</w:t>
            </w:r>
            <w:proofErr w:type="spellEnd"/>
          </w:p>
        </w:tc>
        <w:tc>
          <w:tcPr>
            <w:tcW w:w="3138" w:type="dxa"/>
            <w:tcBorders>
              <w:top w:val="single" w:sz="8" w:space="0" w:color="54B948"/>
              <w:left w:val="single" w:sz="8" w:space="0" w:color="FFFFFF" w:themeColor="background1"/>
              <w:bottom w:val="single" w:sz="8" w:space="0" w:color="54B948"/>
              <w:right w:val="single" w:sz="8" w:space="0" w:color="54B948"/>
            </w:tcBorders>
            <w:shd w:val="clear" w:color="auto" w:fill="54B948"/>
            <w:tcMar>
              <w:top w:w="173" w:type="dxa"/>
              <w:left w:w="259" w:type="dxa"/>
              <w:right w:w="115" w:type="dxa"/>
            </w:tcMar>
          </w:tcPr>
          <w:p w14:paraId="1C3983B4" w14:textId="77777777" w:rsidR="005C615E" w:rsidRPr="00FC75BD" w:rsidRDefault="005C615E" w:rsidP="00B767A8">
            <w:pPr>
              <w:rPr>
                <w:rFonts w:ascii="Verdana" w:hAnsi="Verdana" w:cs="Arial"/>
                <w:b/>
                <w:color w:val="FFFFFF" w:themeColor="background1"/>
                <w:sz w:val="20"/>
                <w:szCs w:val="20"/>
              </w:rPr>
            </w:pPr>
            <w:proofErr w:type="spellStart"/>
            <w:r>
              <w:rPr>
                <w:rFonts w:ascii="Verdana" w:hAnsi="Verdana"/>
                <w:b/>
                <w:color w:val="FFFFFF" w:themeColor="background1"/>
                <w:sz w:val="20"/>
              </w:rPr>
              <w:t>Évaluation</w:t>
            </w:r>
            <w:proofErr w:type="spellEnd"/>
            <w:r>
              <w:rPr>
                <w:rFonts w:ascii="Verdana" w:hAnsi="Verdana"/>
                <w:b/>
                <w:color w:val="FFFFFF" w:themeColor="background1"/>
                <w:sz w:val="20"/>
              </w:rPr>
              <w:t xml:space="preserve"> </w:t>
            </w:r>
            <w:proofErr w:type="spellStart"/>
            <w:r>
              <w:rPr>
                <w:rFonts w:ascii="Verdana" w:hAnsi="Verdana"/>
                <w:b/>
                <w:color w:val="FFFFFF" w:themeColor="background1"/>
                <w:sz w:val="20"/>
              </w:rPr>
              <w:t>comme</w:t>
            </w:r>
            <w:proofErr w:type="spellEnd"/>
            <w:r>
              <w:rPr>
                <w:rFonts w:ascii="Verdana" w:hAnsi="Verdana"/>
                <w:b/>
                <w:color w:val="FFFFFF" w:themeColor="background1"/>
                <w:sz w:val="20"/>
              </w:rPr>
              <w:t xml:space="preserve"> </w:t>
            </w:r>
            <w:r>
              <w:rPr>
                <w:rFonts w:ascii="Verdana" w:hAnsi="Verdana"/>
                <w:b/>
                <w:color w:val="FFFFFF" w:themeColor="background1"/>
                <w:sz w:val="20"/>
              </w:rPr>
              <w:br/>
              <w:t xml:space="preserve">et au service de </w:t>
            </w:r>
            <w:proofErr w:type="spellStart"/>
            <w:r>
              <w:rPr>
                <w:rFonts w:ascii="Verdana" w:hAnsi="Verdana"/>
                <w:b/>
                <w:color w:val="FFFFFF" w:themeColor="background1"/>
                <w:sz w:val="20"/>
              </w:rPr>
              <w:t>l’apprentissage</w:t>
            </w:r>
            <w:proofErr w:type="spellEnd"/>
            <w:r>
              <w:rPr>
                <w:rFonts w:ascii="Verdana" w:hAnsi="Verdana"/>
                <w:b/>
                <w:color w:val="FFFFFF" w:themeColor="background1"/>
                <w:sz w:val="20"/>
              </w:rPr>
              <w:t xml:space="preserve"> </w:t>
            </w:r>
            <w:r>
              <w:rPr>
                <w:rFonts w:ascii="Verdana" w:hAnsi="Verdana"/>
                <w:color w:val="FFFFFF" w:themeColor="background1"/>
                <w:sz w:val="20"/>
              </w:rPr>
              <w:t>(auto-</w:t>
            </w:r>
            <w:proofErr w:type="spellStart"/>
            <w:r>
              <w:rPr>
                <w:rFonts w:ascii="Verdana" w:hAnsi="Verdana"/>
                <w:color w:val="FFFFFF" w:themeColor="background1"/>
                <w:sz w:val="20"/>
              </w:rPr>
              <w:t>évaluation</w:t>
            </w:r>
            <w:proofErr w:type="spellEnd"/>
            <w:r>
              <w:rPr>
                <w:rFonts w:ascii="Verdana" w:hAnsi="Verdana"/>
                <w:color w:val="FFFFFF" w:themeColor="background1"/>
                <w:sz w:val="20"/>
              </w:rPr>
              <w:t>/</w:t>
            </w:r>
            <w:proofErr w:type="spellStart"/>
            <w:r>
              <w:rPr>
                <w:rFonts w:ascii="Verdana" w:hAnsi="Verdana"/>
                <w:color w:val="FFFFFF" w:themeColor="background1"/>
                <w:sz w:val="20"/>
              </w:rPr>
              <w:t>évaluation</w:t>
            </w:r>
            <w:proofErr w:type="spellEnd"/>
            <w:r>
              <w:rPr>
                <w:rFonts w:ascii="Verdana" w:hAnsi="Verdana"/>
                <w:color w:val="FFFFFF" w:themeColor="background1"/>
                <w:sz w:val="20"/>
              </w:rPr>
              <w:t xml:space="preserve"> </w:t>
            </w:r>
            <w:r>
              <w:rPr>
                <w:rFonts w:ascii="Verdana" w:hAnsi="Verdana"/>
                <w:color w:val="FFFFFF" w:themeColor="background1"/>
                <w:sz w:val="20"/>
              </w:rPr>
              <w:br/>
              <w:t xml:space="preserve">par les pairs/le personnel </w:t>
            </w:r>
            <w:proofErr w:type="spellStart"/>
            <w:r>
              <w:rPr>
                <w:rFonts w:ascii="Verdana" w:hAnsi="Verdana"/>
                <w:color w:val="FFFFFF" w:themeColor="background1"/>
                <w:sz w:val="20"/>
              </w:rPr>
              <w:t>enseignant</w:t>
            </w:r>
            <w:proofErr w:type="spellEnd"/>
            <w:r>
              <w:rPr>
                <w:rFonts w:ascii="Verdana" w:hAnsi="Verdana"/>
                <w:color w:val="FFFFFF" w:themeColor="background1"/>
                <w:sz w:val="20"/>
              </w:rPr>
              <w:t>)</w:t>
            </w:r>
          </w:p>
        </w:tc>
      </w:tr>
      <w:tr w:rsidR="005C615E" w:rsidRPr="00FC75BD" w14:paraId="78C1D88F" w14:textId="77777777" w:rsidTr="005C615E">
        <w:trPr>
          <w:gridBefore w:val="1"/>
          <w:wBefore w:w="10" w:type="dxa"/>
          <w:trHeight w:val="432"/>
        </w:trPr>
        <w:tc>
          <w:tcPr>
            <w:tcW w:w="10784" w:type="dxa"/>
            <w:gridSpan w:val="5"/>
            <w:tcBorders>
              <w:top w:val="nil"/>
              <w:left w:val="single" w:sz="8" w:space="0" w:color="3F708E"/>
              <w:bottom w:val="nil"/>
              <w:right w:val="single" w:sz="8" w:space="0" w:color="3F708E"/>
            </w:tcBorders>
            <w:shd w:val="clear" w:color="auto" w:fill="3F708E"/>
            <w:vAlign w:val="center"/>
          </w:tcPr>
          <w:p w14:paraId="2292E758" w14:textId="237839AB" w:rsidR="005C615E" w:rsidRPr="005C615E" w:rsidRDefault="005C615E" w:rsidP="00B767A8">
            <w:pPr>
              <w:pStyle w:val="SectionHeading"/>
              <w:rPr>
                <w:b w:val="0"/>
              </w:rPr>
            </w:pPr>
            <w:r>
              <w:t xml:space="preserve">ACTION </w:t>
            </w:r>
            <w:r>
              <w:rPr>
                <w:b w:val="0"/>
              </w:rPr>
              <w:t>(suite)</w:t>
            </w:r>
          </w:p>
        </w:tc>
      </w:tr>
      <w:tr w:rsidR="005C615E" w:rsidRPr="004365A8" w14:paraId="087E62E9" w14:textId="77777777" w:rsidTr="005C615E">
        <w:trPr>
          <w:gridBefore w:val="1"/>
          <w:wBefore w:w="10" w:type="dxa"/>
          <w:trHeight w:val="20"/>
        </w:trPr>
        <w:tc>
          <w:tcPr>
            <w:tcW w:w="1094" w:type="dxa"/>
            <w:gridSpan w:val="2"/>
            <w:tcBorders>
              <w:top w:val="nil"/>
              <w:left w:val="single" w:sz="8" w:space="0" w:color="54B948"/>
              <w:bottom w:val="nil"/>
              <w:right w:val="single" w:sz="8" w:space="0" w:color="54B948"/>
            </w:tcBorders>
            <w:tcMar>
              <w:top w:w="173" w:type="dxa"/>
              <w:left w:w="72" w:type="dxa"/>
              <w:right w:w="72" w:type="dxa"/>
            </w:tcMar>
          </w:tcPr>
          <w:p w14:paraId="3F9DCBA1" w14:textId="77777777" w:rsidR="005C615E" w:rsidRDefault="005C615E" w:rsidP="00B767A8">
            <w:pPr>
              <w:pStyle w:val="CopyCentred"/>
            </w:pPr>
            <w:r w:rsidRPr="00B92236">
              <w:rPr>
                <w:lang w:val="en-US"/>
              </w:rPr>
              <w:t>50</w:t>
            </w:r>
            <w:r>
              <w:rPr>
                <w:lang w:val="en-US"/>
              </w:rPr>
              <w:t xml:space="preserve"> à </w:t>
            </w:r>
            <w:r w:rsidRPr="00B92236">
              <w:rPr>
                <w:lang w:val="en-US"/>
              </w:rPr>
              <w:t>60 minutes</w:t>
            </w:r>
          </w:p>
        </w:tc>
        <w:tc>
          <w:tcPr>
            <w:tcW w:w="6552" w:type="dxa"/>
            <w:gridSpan w:val="2"/>
            <w:tcBorders>
              <w:top w:val="nil"/>
              <w:left w:val="single" w:sz="8" w:space="0" w:color="54B948"/>
              <w:bottom w:val="nil"/>
              <w:right w:val="single" w:sz="8" w:space="0" w:color="54B948"/>
            </w:tcBorders>
            <w:tcMar>
              <w:top w:w="173" w:type="dxa"/>
              <w:left w:w="259" w:type="dxa"/>
              <w:bottom w:w="173" w:type="dxa"/>
              <w:right w:w="259" w:type="dxa"/>
            </w:tcMar>
          </w:tcPr>
          <w:p w14:paraId="517E8547" w14:textId="77777777" w:rsidR="005C615E" w:rsidRPr="005C615E" w:rsidRDefault="005C615E" w:rsidP="005C615E">
            <w:pPr>
              <w:pStyle w:val="Copy"/>
              <w:rPr>
                <w:lang w:val="fr-CA"/>
              </w:rPr>
            </w:pPr>
            <w:r w:rsidRPr="005C615E">
              <w:rPr>
                <w:lang w:val="fr-CA"/>
              </w:rPr>
              <w:t>Une fois le graphique terminé, demandez aux élèves d’indiquer la variation en pourcentage du compte bancaire (</w:t>
            </w:r>
            <w:proofErr w:type="spellStart"/>
            <w:r w:rsidRPr="005C615E">
              <w:rPr>
                <w:lang w:val="fr-CA"/>
              </w:rPr>
              <w:t>CPG</w:t>
            </w:r>
            <w:proofErr w:type="spellEnd"/>
            <w:r w:rsidRPr="005C615E">
              <w:rPr>
                <w:lang w:val="fr-CA"/>
              </w:rPr>
              <w:t>) et des actions entre le moment de l’investissement initial et la fin de l’année. Comparez le rendement entre l’investissement dans les actions et l’épargne dans les comptes bancaires.</w:t>
            </w:r>
          </w:p>
          <w:p w14:paraId="7DCBC6D6" w14:textId="77777777" w:rsidR="005C615E" w:rsidRPr="005C615E" w:rsidRDefault="005C615E" w:rsidP="005C615E">
            <w:pPr>
              <w:pStyle w:val="Copy"/>
              <w:rPr>
                <w:lang w:val="fr-CA"/>
              </w:rPr>
            </w:pPr>
            <w:r w:rsidRPr="005C615E">
              <w:rPr>
                <w:lang w:val="fr-CA"/>
              </w:rPr>
              <w:t>Demandez aux membres du groupe de discuter et de répondre aux trois questions suivantes sur leur feuille de papier millimétrique :</w:t>
            </w:r>
          </w:p>
          <w:p w14:paraId="0D97FBFA" w14:textId="77777777" w:rsidR="005C615E" w:rsidRPr="005C615E" w:rsidRDefault="005C615E" w:rsidP="005C615E">
            <w:pPr>
              <w:pStyle w:val="NumberedList"/>
              <w:numPr>
                <w:ilvl w:val="0"/>
                <w:numId w:val="15"/>
              </w:numPr>
              <w:ind w:left="259" w:hanging="259"/>
            </w:pPr>
            <w:proofErr w:type="spellStart"/>
            <w:r w:rsidRPr="005C615E">
              <w:t>Lequel</w:t>
            </w:r>
            <w:proofErr w:type="spellEnd"/>
            <w:r w:rsidRPr="005C615E">
              <w:t xml:space="preserve"> des </w:t>
            </w:r>
            <w:proofErr w:type="spellStart"/>
            <w:r w:rsidRPr="005C615E">
              <w:t>deux</w:t>
            </w:r>
            <w:proofErr w:type="spellEnd"/>
            <w:r w:rsidRPr="005C615E">
              <w:t xml:space="preserve"> </w:t>
            </w:r>
            <w:proofErr w:type="spellStart"/>
            <w:r w:rsidRPr="005C615E">
              <w:t>investissements</w:t>
            </w:r>
            <w:proofErr w:type="spellEnd"/>
            <w:r w:rsidRPr="005C615E">
              <w:t xml:space="preserve"> (</w:t>
            </w:r>
            <w:proofErr w:type="spellStart"/>
            <w:r w:rsidRPr="005C615E">
              <w:t>moyenne</w:t>
            </w:r>
            <w:proofErr w:type="spellEnd"/>
            <w:r w:rsidRPr="005C615E">
              <w:t xml:space="preserve"> des actions </w:t>
            </w:r>
            <w:proofErr w:type="spellStart"/>
            <w:r w:rsidRPr="005C615E">
              <w:t>ou</w:t>
            </w:r>
            <w:proofErr w:type="spellEnd"/>
            <w:r w:rsidRPr="005C615E">
              <w:t xml:space="preserve"> </w:t>
            </w:r>
            <w:proofErr w:type="spellStart"/>
            <w:r w:rsidRPr="005C615E">
              <w:t>compte</w:t>
            </w:r>
            <w:proofErr w:type="spellEnd"/>
            <w:r w:rsidRPr="005C615E">
              <w:t xml:space="preserve"> </w:t>
            </w:r>
            <w:proofErr w:type="spellStart"/>
            <w:r w:rsidRPr="005C615E">
              <w:t>bancaire</w:t>
            </w:r>
            <w:proofErr w:type="spellEnd"/>
            <w:r w:rsidRPr="005C615E">
              <w:t xml:space="preserve"> (</w:t>
            </w:r>
            <w:proofErr w:type="spellStart"/>
            <w:r w:rsidRPr="005C615E">
              <w:t>GIC</w:t>
            </w:r>
            <w:proofErr w:type="spellEnd"/>
            <w:r w:rsidRPr="005C615E">
              <w:t xml:space="preserve">)) a le </w:t>
            </w:r>
            <w:proofErr w:type="spellStart"/>
            <w:r w:rsidRPr="005C615E">
              <w:t>meilleur</w:t>
            </w:r>
            <w:proofErr w:type="spellEnd"/>
            <w:r w:rsidRPr="005C615E">
              <w:t xml:space="preserve"> </w:t>
            </w:r>
            <w:proofErr w:type="spellStart"/>
            <w:proofErr w:type="gramStart"/>
            <w:r w:rsidRPr="005C615E">
              <w:t>rendement</w:t>
            </w:r>
            <w:proofErr w:type="spellEnd"/>
            <w:r w:rsidRPr="005C615E">
              <w:t xml:space="preserve"> ?</w:t>
            </w:r>
            <w:proofErr w:type="gramEnd"/>
          </w:p>
          <w:p w14:paraId="1AAA5F98" w14:textId="77777777" w:rsidR="005C615E" w:rsidRPr="005C615E" w:rsidRDefault="005C615E" w:rsidP="005C615E">
            <w:pPr>
              <w:pStyle w:val="NumberedList"/>
              <w:numPr>
                <w:ilvl w:val="0"/>
                <w:numId w:val="15"/>
              </w:numPr>
              <w:ind w:left="259" w:hanging="259"/>
            </w:pPr>
            <w:proofErr w:type="spellStart"/>
            <w:r w:rsidRPr="005C615E">
              <w:t>Lequel</w:t>
            </w:r>
            <w:proofErr w:type="spellEnd"/>
            <w:r w:rsidRPr="005C615E">
              <w:t xml:space="preserve"> des </w:t>
            </w:r>
            <w:proofErr w:type="spellStart"/>
            <w:r w:rsidRPr="005C615E">
              <w:t>deux</w:t>
            </w:r>
            <w:proofErr w:type="spellEnd"/>
            <w:r w:rsidRPr="005C615E">
              <w:t xml:space="preserve"> </w:t>
            </w:r>
            <w:proofErr w:type="spellStart"/>
            <w:r w:rsidRPr="005C615E">
              <w:t>investissements</w:t>
            </w:r>
            <w:proofErr w:type="spellEnd"/>
            <w:r w:rsidRPr="005C615E">
              <w:t xml:space="preserve"> </w:t>
            </w:r>
            <w:proofErr w:type="spellStart"/>
            <w:r w:rsidRPr="005C615E">
              <w:t>est</w:t>
            </w:r>
            <w:proofErr w:type="spellEnd"/>
            <w:r w:rsidRPr="005C615E">
              <w:t xml:space="preserve"> le plus </w:t>
            </w:r>
            <w:proofErr w:type="gramStart"/>
            <w:r w:rsidRPr="005C615E">
              <w:t>risqué ?</w:t>
            </w:r>
            <w:proofErr w:type="gramEnd"/>
          </w:p>
          <w:p w14:paraId="1521FF6C" w14:textId="77777777" w:rsidR="005C615E" w:rsidRPr="005C615E" w:rsidRDefault="005C615E" w:rsidP="005C615E">
            <w:pPr>
              <w:pStyle w:val="NumberedList"/>
              <w:numPr>
                <w:ilvl w:val="0"/>
                <w:numId w:val="15"/>
              </w:numPr>
              <w:ind w:left="259" w:hanging="259"/>
            </w:pPr>
            <w:proofErr w:type="spellStart"/>
            <w:r w:rsidRPr="005C615E">
              <w:t>Dans</w:t>
            </w:r>
            <w:proofErr w:type="spellEnd"/>
            <w:r w:rsidRPr="005C615E">
              <w:t xml:space="preserve"> </w:t>
            </w:r>
            <w:proofErr w:type="spellStart"/>
            <w:r w:rsidRPr="005C615E">
              <w:t>lequel</w:t>
            </w:r>
            <w:proofErr w:type="spellEnd"/>
            <w:r w:rsidRPr="005C615E">
              <w:t xml:space="preserve"> </w:t>
            </w:r>
            <w:proofErr w:type="spellStart"/>
            <w:r w:rsidRPr="005C615E">
              <w:t>choisiriez-vous</w:t>
            </w:r>
            <w:proofErr w:type="spellEnd"/>
            <w:r w:rsidRPr="005C615E">
              <w:t xml:space="preserve"> </w:t>
            </w:r>
            <w:proofErr w:type="spellStart"/>
            <w:proofErr w:type="gramStart"/>
            <w:r w:rsidRPr="005C615E">
              <w:t>investir</w:t>
            </w:r>
            <w:proofErr w:type="spellEnd"/>
            <w:r w:rsidRPr="005C615E">
              <w:t xml:space="preserve"> ?</w:t>
            </w:r>
            <w:proofErr w:type="gramEnd"/>
          </w:p>
          <w:p w14:paraId="22CABD51" w14:textId="5450845C" w:rsidR="005C615E" w:rsidRPr="00110B8E" w:rsidRDefault="005C615E" w:rsidP="005C615E">
            <w:pPr>
              <w:pStyle w:val="Copy"/>
            </w:pPr>
            <w:r w:rsidRPr="005C615E">
              <w:rPr>
                <w:lang w:val="fr-CA"/>
              </w:rPr>
              <w:t>Présentez les résultats aux autres élèves de la classe. Demandez aux élèves de donner leurs avis et de les justifier en utilisant le graphique comparatif.</w:t>
            </w:r>
          </w:p>
        </w:tc>
        <w:tc>
          <w:tcPr>
            <w:tcW w:w="3138" w:type="dxa"/>
            <w:tcBorders>
              <w:top w:val="nil"/>
              <w:left w:val="single" w:sz="8" w:space="0" w:color="54B948"/>
              <w:bottom w:val="nil"/>
              <w:right w:val="single" w:sz="8" w:space="0" w:color="54B948"/>
            </w:tcBorders>
            <w:tcMar>
              <w:top w:w="173" w:type="dxa"/>
              <w:left w:w="259" w:type="dxa"/>
              <w:right w:w="115" w:type="dxa"/>
            </w:tcMar>
          </w:tcPr>
          <w:p w14:paraId="4E2F528A" w14:textId="57B426B8" w:rsidR="005C615E" w:rsidRPr="00B92236" w:rsidRDefault="005C615E" w:rsidP="00B767A8">
            <w:pPr>
              <w:pStyle w:val="Copy"/>
            </w:pPr>
          </w:p>
        </w:tc>
      </w:tr>
      <w:tr w:rsidR="001A3D8E" w:rsidRPr="00FC75BD" w14:paraId="119C93A7" w14:textId="77777777" w:rsidTr="005C615E">
        <w:trPr>
          <w:trHeight w:val="432"/>
        </w:trPr>
        <w:tc>
          <w:tcPr>
            <w:tcW w:w="10794" w:type="dxa"/>
            <w:gridSpan w:val="6"/>
            <w:tcBorders>
              <w:top w:val="nil"/>
              <w:left w:val="single" w:sz="8" w:space="0" w:color="3F708E"/>
              <w:bottom w:val="nil"/>
              <w:right w:val="single" w:sz="8" w:space="0" w:color="3F708E"/>
            </w:tcBorders>
            <w:shd w:val="clear" w:color="auto" w:fill="3F708E"/>
            <w:vAlign w:val="center"/>
          </w:tcPr>
          <w:p w14:paraId="49B0759B" w14:textId="77777777" w:rsidR="001A3D8E" w:rsidRPr="00153221" w:rsidRDefault="001A3D8E" w:rsidP="00071EC5">
            <w:pPr>
              <w:pStyle w:val="SectionHeading"/>
              <w:rPr>
                <w:b w:val="0"/>
              </w:rPr>
            </w:pPr>
            <w:r w:rsidRPr="002407EE">
              <w:t>CONSOLIDATION/DEBRIEF</w:t>
            </w:r>
          </w:p>
        </w:tc>
      </w:tr>
      <w:tr w:rsidR="001A3D8E" w:rsidRPr="004365A8" w14:paraId="730D39A6" w14:textId="77777777" w:rsidTr="005C615E">
        <w:trPr>
          <w:trHeight w:val="20"/>
        </w:trPr>
        <w:tc>
          <w:tcPr>
            <w:tcW w:w="1084" w:type="dxa"/>
            <w:gridSpan w:val="2"/>
            <w:tcBorders>
              <w:top w:val="nil"/>
              <w:left w:val="single" w:sz="8" w:space="0" w:color="54B948"/>
              <w:bottom w:val="single" w:sz="8" w:space="0" w:color="54B948"/>
              <w:right w:val="single" w:sz="8" w:space="0" w:color="54B948"/>
            </w:tcBorders>
            <w:tcMar>
              <w:top w:w="173" w:type="dxa"/>
              <w:left w:w="72" w:type="dxa"/>
              <w:right w:w="72" w:type="dxa"/>
            </w:tcMar>
          </w:tcPr>
          <w:p w14:paraId="3ED92710" w14:textId="5D99C6DE" w:rsidR="001A3D8E" w:rsidRPr="00E80C32" w:rsidRDefault="00B92236" w:rsidP="005C615E">
            <w:pPr>
              <w:pStyle w:val="CopyCentred"/>
            </w:pPr>
            <w:r>
              <w:t>5</w:t>
            </w:r>
            <w:r w:rsidR="005C615E">
              <w:t xml:space="preserve"> à </w:t>
            </w:r>
            <w:r w:rsidR="001A3D8E">
              <w:t>10 minutes</w:t>
            </w:r>
          </w:p>
        </w:tc>
        <w:tc>
          <w:tcPr>
            <w:tcW w:w="6566" w:type="dxa"/>
            <w:gridSpan w:val="2"/>
            <w:tcBorders>
              <w:top w:val="nil"/>
              <w:left w:val="single" w:sz="8" w:space="0" w:color="54B948"/>
              <w:bottom w:val="single" w:sz="8" w:space="0" w:color="54B948"/>
              <w:right w:val="single" w:sz="8" w:space="0" w:color="54B948"/>
            </w:tcBorders>
            <w:tcMar>
              <w:top w:w="173" w:type="dxa"/>
              <w:left w:w="259" w:type="dxa"/>
              <w:bottom w:w="173" w:type="dxa"/>
              <w:right w:w="259" w:type="dxa"/>
            </w:tcMar>
          </w:tcPr>
          <w:p w14:paraId="16273C14" w14:textId="77777777" w:rsidR="005C615E" w:rsidRPr="005C615E" w:rsidRDefault="005C615E" w:rsidP="005C615E">
            <w:pPr>
              <w:pStyle w:val="ClassHeading"/>
              <w:rPr>
                <w:lang w:val="fr-CA"/>
              </w:rPr>
            </w:pPr>
            <w:r w:rsidRPr="005C615E">
              <w:rPr>
                <w:lang w:val="fr-CA"/>
              </w:rPr>
              <w:t>INDIVIDUELLEMENT</w:t>
            </w:r>
          </w:p>
          <w:p w14:paraId="2D556417" w14:textId="77777777" w:rsidR="005C615E" w:rsidRPr="009B6806" w:rsidRDefault="005C615E" w:rsidP="005C615E">
            <w:pPr>
              <w:pStyle w:val="Subhead"/>
            </w:pPr>
            <w:proofErr w:type="gramStart"/>
            <w:r w:rsidRPr="009B6806">
              <w:t>Discussion</w:t>
            </w:r>
            <w:r>
              <w:t> </w:t>
            </w:r>
            <w:r w:rsidRPr="009B6806">
              <w:t>:</w:t>
            </w:r>
            <w:proofErr w:type="gramEnd"/>
          </w:p>
          <w:p w14:paraId="2FF25B26" w14:textId="77777777" w:rsidR="005C615E" w:rsidRPr="005C615E" w:rsidRDefault="005C615E" w:rsidP="005C615E">
            <w:pPr>
              <w:pStyle w:val="Copy"/>
              <w:rPr>
                <w:lang w:val="fr-CA"/>
              </w:rPr>
            </w:pPr>
            <w:r w:rsidRPr="005C615E">
              <w:rPr>
                <w:lang w:val="fr-CA"/>
              </w:rPr>
              <w:t>Après avoir consulté votre graphique et ceux de vos camarades de classe, examinez les questions suivantes :</w:t>
            </w:r>
          </w:p>
          <w:p w14:paraId="7F9F959F" w14:textId="77777777" w:rsidR="005C615E" w:rsidRPr="005C615E" w:rsidRDefault="005C615E" w:rsidP="005C615E">
            <w:pPr>
              <w:pStyle w:val="NumberedList"/>
              <w:numPr>
                <w:ilvl w:val="0"/>
                <w:numId w:val="18"/>
              </w:numPr>
              <w:ind w:left="259" w:hanging="259"/>
            </w:pPr>
            <w:proofErr w:type="spellStart"/>
            <w:r w:rsidRPr="005C615E">
              <w:t>Préféreriez-vous</w:t>
            </w:r>
            <w:proofErr w:type="spellEnd"/>
            <w:r w:rsidRPr="005C615E">
              <w:t xml:space="preserve"> </w:t>
            </w:r>
            <w:proofErr w:type="spellStart"/>
            <w:r w:rsidRPr="005C615E">
              <w:t>investir</w:t>
            </w:r>
            <w:proofErr w:type="spellEnd"/>
            <w:r w:rsidRPr="005C615E">
              <w:t xml:space="preserve"> </w:t>
            </w:r>
            <w:proofErr w:type="spellStart"/>
            <w:proofErr w:type="gramStart"/>
            <w:r w:rsidRPr="005C615E">
              <w:t>dans</w:t>
            </w:r>
            <w:proofErr w:type="spellEnd"/>
            <w:r w:rsidRPr="005C615E">
              <w:t> :</w:t>
            </w:r>
            <w:proofErr w:type="gramEnd"/>
            <w:r w:rsidRPr="005C615E">
              <w:t xml:space="preserve"> un </w:t>
            </w:r>
            <w:proofErr w:type="spellStart"/>
            <w:r w:rsidRPr="005C615E">
              <w:t>compte</w:t>
            </w:r>
            <w:proofErr w:type="spellEnd"/>
            <w:r w:rsidRPr="005C615E">
              <w:t xml:space="preserve"> </w:t>
            </w:r>
            <w:proofErr w:type="spellStart"/>
            <w:r w:rsidRPr="005C615E">
              <w:t>bancaire</w:t>
            </w:r>
            <w:proofErr w:type="spellEnd"/>
            <w:r w:rsidRPr="005C615E">
              <w:t xml:space="preserve"> qui </w:t>
            </w:r>
            <w:proofErr w:type="spellStart"/>
            <w:r w:rsidRPr="005C615E">
              <w:t>rapporte</w:t>
            </w:r>
            <w:proofErr w:type="spellEnd"/>
            <w:r w:rsidRPr="005C615E">
              <w:t xml:space="preserve"> </w:t>
            </w:r>
            <w:proofErr w:type="spellStart"/>
            <w:r w:rsidRPr="005C615E">
              <w:t>une</w:t>
            </w:r>
            <w:proofErr w:type="spellEnd"/>
            <w:r w:rsidRPr="005C615E">
              <w:t xml:space="preserve"> </w:t>
            </w:r>
            <w:proofErr w:type="spellStart"/>
            <w:r w:rsidRPr="005C615E">
              <w:t>somme</w:t>
            </w:r>
            <w:proofErr w:type="spellEnd"/>
            <w:r w:rsidRPr="005C615E">
              <w:t xml:space="preserve"> stable </w:t>
            </w:r>
            <w:proofErr w:type="spellStart"/>
            <w:r w:rsidRPr="005C615E">
              <w:t>ou</w:t>
            </w:r>
            <w:proofErr w:type="spellEnd"/>
            <w:r w:rsidRPr="005C615E">
              <w:t xml:space="preserve"> des actions que </w:t>
            </w:r>
            <w:proofErr w:type="spellStart"/>
            <w:r w:rsidRPr="005C615E">
              <w:t>vous</w:t>
            </w:r>
            <w:proofErr w:type="spellEnd"/>
            <w:r w:rsidRPr="005C615E">
              <w:t xml:space="preserve"> </w:t>
            </w:r>
            <w:proofErr w:type="spellStart"/>
            <w:r w:rsidRPr="005C615E">
              <w:t>avez</w:t>
            </w:r>
            <w:proofErr w:type="spellEnd"/>
            <w:r w:rsidRPr="005C615E">
              <w:t xml:space="preserve"> </w:t>
            </w:r>
            <w:proofErr w:type="spellStart"/>
            <w:r w:rsidRPr="005C615E">
              <w:t>examinées</w:t>
            </w:r>
            <w:proofErr w:type="spellEnd"/>
            <w:r w:rsidRPr="005C615E">
              <w:t xml:space="preserve"> </w:t>
            </w:r>
            <w:proofErr w:type="spellStart"/>
            <w:r w:rsidRPr="005C615E">
              <w:t>ou</w:t>
            </w:r>
            <w:proofErr w:type="spellEnd"/>
            <w:r w:rsidRPr="005C615E">
              <w:t xml:space="preserve"> </w:t>
            </w:r>
            <w:proofErr w:type="spellStart"/>
            <w:r w:rsidRPr="005C615E">
              <w:t>une</w:t>
            </w:r>
            <w:proofErr w:type="spellEnd"/>
            <w:r w:rsidRPr="005C615E">
              <w:t xml:space="preserve"> </w:t>
            </w:r>
            <w:proofErr w:type="spellStart"/>
            <w:r w:rsidRPr="005C615E">
              <w:t>combinaison</w:t>
            </w:r>
            <w:proofErr w:type="spellEnd"/>
            <w:r w:rsidRPr="005C615E">
              <w:t xml:space="preserve"> des </w:t>
            </w:r>
            <w:proofErr w:type="spellStart"/>
            <w:r w:rsidRPr="005C615E">
              <w:t>deux</w:t>
            </w:r>
            <w:proofErr w:type="spellEnd"/>
            <w:r w:rsidRPr="005C615E">
              <w:rPr>
                <w:rFonts w:ascii="Calibri" w:eastAsia="Calibri" w:hAnsi="Calibri" w:cs="Calibri"/>
              </w:rPr>
              <w:t> </w:t>
            </w:r>
            <w:r w:rsidRPr="005C615E">
              <w:t>?</w:t>
            </w:r>
          </w:p>
          <w:p w14:paraId="283BE648" w14:textId="77777777" w:rsidR="005C615E" w:rsidRPr="005C615E" w:rsidRDefault="005C615E" w:rsidP="005C615E">
            <w:pPr>
              <w:pStyle w:val="NumberedList"/>
              <w:numPr>
                <w:ilvl w:val="0"/>
                <w:numId w:val="18"/>
              </w:numPr>
              <w:ind w:left="259" w:hanging="259"/>
            </w:pPr>
            <w:r w:rsidRPr="005C615E">
              <w:t xml:space="preserve">Comment </w:t>
            </w:r>
            <w:proofErr w:type="spellStart"/>
            <w:r w:rsidRPr="005C615E">
              <w:t>votre</w:t>
            </w:r>
            <w:proofErr w:type="spellEnd"/>
            <w:r w:rsidRPr="005C615E">
              <w:t xml:space="preserve"> opinion a-t-</w:t>
            </w:r>
            <w:proofErr w:type="spellStart"/>
            <w:r w:rsidRPr="005C615E">
              <w:t>elle</w:t>
            </w:r>
            <w:proofErr w:type="spellEnd"/>
            <w:r w:rsidRPr="005C615E">
              <w:t xml:space="preserve"> </w:t>
            </w:r>
            <w:proofErr w:type="spellStart"/>
            <w:r w:rsidRPr="005C615E">
              <w:t>changé</w:t>
            </w:r>
            <w:proofErr w:type="spellEnd"/>
            <w:r w:rsidRPr="005C615E">
              <w:t xml:space="preserve"> </w:t>
            </w:r>
            <w:proofErr w:type="spellStart"/>
            <w:r w:rsidRPr="005C615E">
              <w:t>depuis</w:t>
            </w:r>
            <w:proofErr w:type="spellEnd"/>
            <w:r w:rsidRPr="005C615E">
              <w:t xml:space="preserve"> que </w:t>
            </w:r>
            <w:proofErr w:type="spellStart"/>
            <w:r w:rsidRPr="005C615E">
              <w:t>vous</w:t>
            </w:r>
            <w:proofErr w:type="spellEnd"/>
            <w:r w:rsidRPr="005C615E">
              <w:t xml:space="preserve"> </w:t>
            </w:r>
            <w:proofErr w:type="spellStart"/>
            <w:r w:rsidRPr="005C615E">
              <w:t>avez</w:t>
            </w:r>
            <w:proofErr w:type="spellEnd"/>
            <w:r w:rsidRPr="005C615E">
              <w:t xml:space="preserve"> vu le travail de </w:t>
            </w:r>
            <w:proofErr w:type="spellStart"/>
            <w:r w:rsidRPr="005C615E">
              <w:t>vos</w:t>
            </w:r>
            <w:proofErr w:type="spellEnd"/>
            <w:r w:rsidRPr="005C615E">
              <w:t xml:space="preserve"> </w:t>
            </w:r>
            <w:proofErr w:type="spellStart"/>
            <w:r w:rsidRPr="005C615E">
              <w:t>camarades</w:t>
            </w:r>
            <w:proofErr w:type="spellEnd"/>
            <w:r w:rsidRPr="005C615E">
              <w:t xml:space="preserve"> de </w:t>
            </w:r>
            <w:proofErr w:type="spellStart"/>
            <w:proofErr w:type="gramStart"/>
            <w:r w:rsidRPr="005C615E">
              <w:t>classe</w:t>
            </w:r>
            <w:proofErr w:type="spellEnd"/>
            <w:r w:rsidRPr="005C615E">
              <w:rPr>
                <w:rFonts w:ascii="Calibri" w:eastAsia="Calibri" w:hAnsi="Calibri" w:cs="Calibri"/>
              </w:rPr>
              <w:t> </w:t>
            </w:r>
            <w:r w:rsidRPr="005C615E">
              <w:t>?</w:t>
            </w:r>
            <w:proofErr w:type="gramEnd"/>
          </w:p>
          <w:p w14:paraId="34B89618" w14:textId="1CFE12D4" w:rsidR="001A3D8E" w:rsidRPr="001A3D8E" w:rsidRDefault="005C615E" w:rsidP="005C615E">
            <w:pPr>
              <w:pStyle w:val="NumberedList"/>
              <w:numPr>
                <w:ilvl w:val="0"/>
                <w:numId w:val="18"/>
              </w:numPr>
              <w:ind w:left="259" w:hanging="259"/>
            </w:pPr>
            <w:proofErr w:type="spellStart"/>
            <w:r w:rsidRPr="005C615E">
              <w:t>Étayez</w:t>
            </w:r>
            <w:proofErr w:type="spellEnd"/>
            <w:r w:rsidRPr="005C615E">
              <w:t xml:space="preserve"> </w:t>
            </w:r>
            <w:proofErr w:type="spellStart"/>
            <w:r w:rsidRPr="005C615E">
              <w:t>votre</w:t>
            </w:r>
            <w:proofErr w:type="spellEnd"/>
            <w:r w:rsidRPr="005C615E">
              <w:t xml:space="preserve"> </w:t>
            </w:r>
            <w:proofErr w:type="spellStart"/>
            <w:r w:rsidRPr="005C615E">
              <w:t>réponse</w:t>
            </w:r>
            <w:proofErr w:type="spellEnd"/>
            <w:r w:rsidRPr="005C615E">
              <w:t xml:space="preserve"> </w:t>
            </w:r>
            <w:proofErr w:type="spellStart"/>
            <w:r w:rsidRPr="005C615E">
              <w:t>en</w:t>
            </w:r>
            <w:proofErr w:type="spellEnd"/>
            <w:r w:rsidRPr="005C615E">
              <w:t xml:space="preserve"> </w:t>
            </w:r>
            <w:proofErr w:type="spellStart"/>
            <w:r w:rsidRPr="005C615E">
              <w:t>utilisant</w:t>
            </w:r>
            <w:proofErr w:type="spellEnd"/>
            <w:r w:rsidRPr="005C615E">
              <w:t xml:space="preserve"> le tableau et les </w:t>
            </w:r>
            <w:proofErr w:type="spellStart"/>
            <w:r w:rsidRPr="005C615E">
              <w:t>informations</w:t>
            </w:r>
            <w:proofErr w:type="spellEnd"/>
            <w:r w:rsidRPr="005C615E">
              <w:t xml:space="preserve"> de </w:t>
            </w:r>
            <w:proofErr w:type="spellStart"/>
            <w:r w:rsidRPr="005C615E">
              <w:t>l’entreprise</w:t>
            </w:r>
            <w:proofErr w:type="spellEnd"/>
            <w:r w:rsidRPr="005C615E">
              <w:t xml:space="preserve"> pour </w:t>
            </w:r>
            <w:proofErr w:type="spellStart"/>
            <w:r w:rsidRPr="005C615E">
              <w:t>expliquer</w:t>
            </w:r>
            <w:proofErr w:type="spellEnd"/>
            <w:r w:rsidRPr="005C615E">
              <w:t xml:space="preserve"> </w:t>
            </w:r>
            <w:proofErr w:type="spellStart"/>
            <w:r w:rsidRPr="005C615E">
              <w:t>votre</w:t>
            </w:r>
            <w:proofErr w:type="spellEnd"/>
            <w:r w:rsidRPr="005C615E">
              <w:t xml:space="preserve"> </w:t>
            </w:r>
            <w:proofErr w:type="spellStart"/>
            <w:r w:rsidRPr="005C615E">
              <w:t>raisonnement</w:t>
            </w:r>
            <w:proofErr w:type="spellEnd"/>
            <w:r w:rsidRPr="005C615E">
              <w:t>.</w:t>
            </w:r>
          </w:p>
        </w:tc>
        <w:tc>
          <w:tcPr>
            <w:tcW w:w="3144" w:type="dxa"/>
            <w:gridSpan w:val="2"/>
            <w:tcBorders>
              <w:top w:val="nil"/>
              <w:left w:val="single" w:sz="8" w:space="0" w:color="54B948"/>
              <w:bottom w:val="single" w:sz="8" w:space="0" w:color="54B948"/>
              <w:right w:val="single" w:sz="8" w:space="0" w:color="54B948"/>
            </w:tcBorders>
            <w:tcMar>
              <w:top w:w="173" w:type="dxa"/>
              <w:left w:w="259" w:type="dxa"/>
              <w:right w:w="115" w:type="dxa"/>
            </w:tcMar>
          </w:tcPr>
          <w:p w14:paraId="2862D835" w14:textId="6051A586" w:rsidR="001A3D8E" w:rsidRPr="004365A8" w:rsidRDefault="005C615E" w:rsidP="00071EC5">
            <w:pPr>
              <w:pStyle w:val="Copy"/>
            </w:pPr>
            <w:r w:rsidRPr="005C615E">
              <w:rPr>
                <w:lang w:val="fr-CA"/>
              </w:rPr>
              <w:t xml:space="preserve">Carte finale. Répondez aux questions. </w:t>
            </w:r>
            <w:r w:rsidRPr="005C615E">
              <w:rPr>
                <w:lang w:val="en-US"/>
              </w:rPr>
              <w:t>(</w:t>
            </w:r>
            <w:proofErr w:type="spellStart"/>
            <w:r w:rsidRPr="005C615E">
              <w:rPr>
                <w:lang w:val="en-US"/>
              </w:rPr>
              <w:t>Annexe</w:t>
            </w:r>
            <w:proofErr w:type="spellEnd"/>
            <w:r w:rsidRPr="005C615E">
              <w:rPr>
                <w:lang w:val="en-US"/>
              </w:rPr>
              <w:t> B)</w:t>
            </w:r>
          </w:p>
        </w:tc>
      </w:tr>
    </w:tbl>
    <w:p w14:paraId="08C4A46F" w14:textId="77777777" w:rsidR="0077560A" w:rsidRDefault="0077560A" w:rsidP="006D09DC">
      <w:pPr>
        <w:rPr>
          <w:rFonts w:ascii="Verdana" w:hAnsi="Verdana" w:cs="Arial"/>
          <w:sz w:val="36"/>
          <w:szCs w:val="36"/>
        </w:rPr>
      </w:pPr>
    </w:p>
    <w:p w14:paraId="0AC68E17" w14:textId="77777777" w:rsidR="0077560A" w:rsidRDefault="0077560A" w:rsidP="006D09DC">
      <w:pPr>
        <w:rPr>
          <w:rFonts w:ascii="Verdana" w:hAnsi="Verdana" w:cs="Arial"/>
          <w:sz w:val="36"/>
          <w:szCs w:val="36"/>
        </w:rPr>
        <w:sectPr w:rsidR="0077560A" w:rsidSect="00F61662">
          <w:headerReference w:type="default" r:id="rId17"/>
          <w:pgSz w:w="12240" w:h="15840"/>
          <w:pgMar w:top="540" w:right="720" w:bottom="720" w:left="720" w:header="1152" w:footer="1080" w:gutter="0"/>
          <w:cols w:space="708"/>
          <w:docGrid w:linePitch="360"/>
        </w:sect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912080" w14:paraId="6ED7C8A0" w14:textId="77777777" w:rsidTr="00906E2E">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2E4381D0" w14:textId="15C7E398" w:rsidR="00912080" w:rsidRPr="00C62D0E" w:rsidRDefault="005C615E" w:rsidP="00847E16">
            <w:pPr>
              <w:pStyle w:val="AppendixName"/>
            </w:pPr>
            <w:r w:rsidRPr="005C615E">
              <w:rPr>
                <w:lang w:val="fr-CA"/>
              </w:rPr>
              <w:lastRenderedPageBreak/>
              <w:t>Graphiques de comparaison</w:t>
            </w:r>
          </w:p>
        </w:tc>
      </w:tr>
      <w:tr w:rsidR="00912080" w14:paraId="76CAD30A" w14:textId="77777777" w:rsidTr="00B848F7">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4272C843" w14:textId="4B575593" w:rsidR="00DE7C9C" w:rsidRPr="00C25698" w:rsidRDefault="005C615E" w:rsidP="00DE7C9C">
            <w:pPr>
              <w:pStyle w:val="Copy"/>
              <w:rPr>
                <w:sz w:val="18"/>
                <w:szCs w:val="18"/>
              </w:rPr>
            </w:pPr>
            <w:proofErr w:type="spellStart"/>
            <w:proofErr w:type="gramStart"/>
            <w:r>
              <w:rPr>
                <w:rStyle w:val="normaltextrun"/>
                <w:rFonts w:cs="Segoe UI"/>
              </w:rPr>
              <w:t>Nom</w:t>
            </w:r>
            <w:proofErr w:type="spellEnd"/>
            <w:r w:rsidR="009B6F3C">
              <w:rPr>
                <w:rStyle w:val="normaltextrun"/>
                <w:rFonts w:cs="Segoe UI"/>
              </w:rPr>
              <w:t xml:space="preserve"> </w:t>
            </w:r>
            <w:r w:rsidR="00DE7C9C" w:rsidRPr="00C25698">
              <w:rPr>
                <w:rStyle w:val="normaltextrun"/>
                <w:rFonts w:cs="Segoe UI"/>
              </w:rPr>
              <w:t>:</w:t>
            </w:r>
            <w:proofErr w:type="gramEnd"/>
            <w:r w:rsidR="00DE7C9C" w:rsidRPr="00C25698">
              <w:rPr>
                <w:rStyle w:val="normaltextrun"/>
                <w:rFonts w:cs="Segoe UI"/>
              </w:rPr>
              <w:t> _____________</w:t>
            </w:r>
            <w:r w:rsidR="009B6F3C">
              <w:rPr>
                <w:rStyle w:val="normaltextrun"/>
                <w:rFonts w:cs="Segoe UI"/>
              </w:rPr>
              <w:t>________________________      </w:t>
            </w:r>
            <w:r w:rsidR="00DE7C9C" w:rsidRPr="00C25698">
              <w:rPr>
                <w:rStyle w:val="normaltextrun"/>
                <w:rFonts w:cs="Segoe UI"/>
              </w:rPr>
              <w:t> Date</w:t>
            </w:r>
            <w:r w:rsidR="009B6F3C">
              <w:rPr>
                <w:rStyle w:val="normaltextrun"/>
                <w:rFonts w:cs="Segoe UI"/>
              </w:rPr>
              <w:t xml:space="preserve"> </w:t>
            </w:r>
            <w:r w:rsidR="00DE7C9C" w:rsidRPr="00C25698">
              <w:rPr>
                <w:rStyle w:val="normaltextrun"/>
                <w:rFonts w:cs="Segoe UI"/>
              </w:rPr>
              <w:t>: ________</w:t>
            </w:r>
            <w:r w:rsidRPr="00C25698">
              <w:rPr>
                <w:rStyle w:val="normaltextrun"/>
                <w:rFonts w:cs="Segoe UI"/>
              </w:rPr>
              <w:t>_</w:t>
            </w:r>
            <w:r w:rsidR="00DE7C9C" w:rsidRPr="00C25698">
              <w:rPr>
                <w:rStyle w:val="normaltextrun"/>
                <w:rFonts w:cs="Segoe UI"/>
              </w:rPr>
              <w:t>___________________</w:t>
            </w:r>
            <w:r w:rsidR="00DE7C9C" w:rsidRPr="00C25698">
              <w:rPr>
                <w:rStyle w:val="eop"/>
                <w:rFonts w:cs="Segoe UI"/>
              </w:rPr>
              <w:t> </w:t>
            </w:r>
          </w:p>
          <w:p w14:paraId="525B4D5F" w14:textId="77777777" w:rsidR="00DE7C9C" w:rsidRDefault="00DE7C9C" w:rsidP="00B21A6A">
            <w:pPr>
              <w:pStyle w:val="Copy"/>
              <w:rPr>
                <w:rStyle w:val="normaltextrun"/>
                <w:rFonts w:cs="Segoe UI"/>
                <w:b/>
                <w:bCs/>
              </w:rPr>
            </w:pPr>
          </w:p>
          <w:p w14:paraId="48798031" w14:textId="701BBC9A" w:rsidR="00DE7C9C" w:rsidRPr="00B21A6A" w:rsidRDefault="005C615E" w:rsidP="00B21A6A">
            <w:pPr>
              <w:pStyle w:val="Subhead"/>
              <w:jc w:val="center"/>
            </w:pPr>
            <w:r w:rsidRPr="005C615E">
              <w:rPr>
                <w:lang w:val="fr-CA"/>
              </w:rPr>
              <w:t xml:space="preserve">Folie des actions : comparaison des rendements </w:t>
            </w:r>
            <w:r>
              <w:rPr>
                <w:lang w:val="fr-CA"/>
              </w:rPr>
              <w:br/>
            </w:r>
            <w:r w:rsidRPr="005C615E">
              <w:rPr>
                <w:lang w:val="fr-CA"/>
              </w:rPr>
              <w:t>des comptes bancaires et du marché boursier</w:t>
            </w:r>
          </w:p>
          <w:p w14:paraId="7837A712" w14:textId="288AF0BD" w:rsidR="00DE7C9C" w:rsidRPr="00B21A6A" w:rsidRDefault="00DE7C9C" w:rsidP="00B21A6A">
            <w:pPr>
              <w:pStyle w:val="Copy"/>
              <w:jc w:val="center"/>
            </w:pPr>
            <w:r w:rsidRPr="00B21A6A">
              <w:rPr>
                <w:noProof/>
                <w:lang w:val="en-US"/>
              </w:rPr>
              <w:drawing>
                <wp:anchor distT="0" distB="0" distL="114300" distR="114300" simplePos="0" relativeHeight="251734016" behindDoc="1" locked="0" layoutInCell="1" allowOverlap="1" wp14:anchorId="7B328715" wp14:editId="765AA6F8">
                  <wp:simplePos x="0" y="0"/>
                  <wp:positionH relativeFrom="column">
                    <wp:posOffset>-29845</wp:posOffset>
                  </wp:positionH>
                  <wp:positionV relativeFrom="paragraph">
                    <wp:posOffset>513080</wp:posOffset>
                  </wp:positionV>
                  <wp:extent cx="6480810" cy="5712460"/>
                  <wp:effectExtent l="0" t="0" r="0" b="2540"/>
                  <wp:wrapTight wrapText="bothSides">
                    <wp:wrapPolygon edited="0">
                      <wp:start x="0" y="0"/>
                      <wp:lineTo x="0" y="21514"/>
                      <wp:lineTo x="21503" y="21514"/>
                      <wp:lineTo x="21503"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ph-paper-template-pdl6yytu.png"/>
                          <pic:cNvPicPr/>
                        </pic:nvPicPr>
                        <pic:blipFill rotWithShape="1">
                          <a:blip r:embed="rId18">
                            <a:extLst>
                              <a:ext uri="{28A0092B-C50C-407E-A947-70E740481C1C}">
                                <a14:useLocalDpi xmlns:a14="http://schemas.microsoft.com/office/drawing/2010/main" val="0"/>
                              </a:ext>
                            </a:extLst>
                          </a:blip>
                          <a:srcRect t="2553"/>
                          <a:stretch/>
                        </pic:blipFill>
                        <pic:spPr bwMode="auto">
                          <a:xfrm>
                            <a:off x="0" y="0"/>
                            <a:ext cx="6480810" cy="571246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21A6A">
              <w:t>(</w:t>
            </w:r>
            <w:r w:rsidR="005C615E" w:rsidRPr="005C615E">
              <w:rPr>
                <w:lang w:val="fr-CA"/>
              </w:rPr>
              <w:t>brouillon</w:t>
            </w:r>
            <w:r w:rsidRPr="00B21A6A">
              <w:t>)</w:t>
            </w:r>
          </w:p>
          <w:p w14:paraId="36E12811" w14:textId="03119184" w:rsidR="0077060A" w:rsidRPr="00500A5A" w:rsidRDefault="005C615E" w:rsidP="00167FF1">
            <w:pPr>
              <w:pStyle w:val="Subhead"/>
              <w:jc w:val="center"/>
            </w:pPr>
            <w:r w:rsidRPr="005C615E">
              <w:rPr>
                <w:lang w:val="fr-CA"/>
              </w:rPr>
              <w:t>Rendement en pourcentage des actions par rapport aux comptes d’épargne</w:t>
            </w:r>
          </w:p>
        </w:tc>
      </w:tr>
    </w:tbl>
    <w:p w14:paraId="5E0F0FAE" w14:textId="1FD17C6C"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1312" behindDoc="0" locked="0" layoutInCell="1" allowOverlap="1" wp14:anchorId="0C9E06D7" wp14:editId="50E31494">
                <wp:simplePos x="0" y="0"/>
                <wp:positionH relativeFrom="column">
                  <wp:posOffset>0</wp:posOffset>
                </wp:positionH>
                <wp:positionV relativeFrom="page">
                  <wp:posOffset>107215</wp:posOffset>
                </wp:positionV>
                <wp:extent cx="1413510" cy="30480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79C892" w14:textId="33AD69E0" w:rsidR="000C45ED" w:rsidRPr="00ED7BE9" w:rsidRDefault="003E0AF5" w:rsidP="00906E2E">
                            <w:pPr>
                              <w:rPr>
                                <w:rFonts w:ascii="Verdana" w:hAnsi="Verdana"/>
                                <w:b/>
                                <w:color w:val="54B948"/>
                                <w:sz w:val="26"/>
                                <w:szCs w:val="26"/>
                                <w:lang w:val="en-CA"/>
                              </w:rPr>
                            </w:pPr>
                            <w:r>
                              <w:rPr>
                                <w:rFonts w:ascii="Verdana" w:hAnsi="Verdana"/>
                                <w:b/>
                                <w:color w:val="54B948"/>
                                <w:sz w:val="26"/>
                                <w:szCs w:val="26"/>
                                <w:lang w:val="en-CA"/>
                              </w:rPr>
                              <w:t>ANNEXE</w:t>
                            </w:r>
                            <w:r w:rsidR="000C45ED">
                              <w:rPr>
                                <w:rFonts w:ascii="Verdana" w:hAnsi="Verdana"/>
                                <w:b/>
                                <w:color w:val="54B948"/>
                                <w:sz w:val="26"/>
                                <w:szCs w:val="26"/>
                                <w:lang w:val="en-CA"/>
                              </w:rPr>
                              <w:t xml:space="preserve"> 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9E06D7" id="_x0000_t202" coordsize="21600,21600" o:spt="202" path="m0,0l0,21600,21600,21600,21600,0xe">
                <v:stroke joinstyle="miter"/>
                <v:path gradientshapeok="t" o:connecttype="rect"/>
              </v:shapetype>
              <v:shape id="Text Box 17" o:spid="_x0000_s1026" type="#_x0000_t202" style="position:absolute;margin-left:0;margin-top:8.45pt;width:111.3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" filled="f" stroked="f">
                <v:textbox>
                  <w:txbxContent>
                    <w:p w14:paraId="7279C892" w14:textId="33AD69E0" w:rsidR="000C45ED" w:rsidRPr="00ED7BE9" w:rsidRDefault="003E0AF5" w:rsidP="00906E2E">
                      <w:pPr>
                        <w:rPr>
                          <w:rFonts w:ascii="Verdana" w:hAnsi="Verdana"/>
                          <w:b/>
                          <w:color w:val="54B948"/>
                          <w:sz w:val="26"/>
                          <w:szCs w:val="26"/>
                          <w:lang w:val="en-CA"/>
                        </w:rPr>
                      </w:pPr>
                      <w:r>
                        <w:rPr>
                          <w:rFonts w:ascii="Verdana" w:hAnsi="Verdana"/>
                          <w:b/>
                          <w:color w:val="54B948"/>
                          <w:sz w:val="26"/>
                          <w:szCs w:val="26"/>
                          <w:lang w:val="en-CA"/>
                        </w:rPr>
                        <w:t>ANNEXE</w:t>
                      </w:r>
                      <w:r w:rsidR="000C45ED">
                        <w:rPr>
                          <w:rFonts w:ascii="Verdana" w:hAnsi="Verdana"/>
                          <w:b/>
                          <w:color w:val="54B948"/>
                          <w:sz w:val="26"/>
                          <w:szCs w:val="26"/>
                          <w:lang w:val="en-CA"/>
                        </w:rPr>
                        <w:t xml:space="preserve"> A</w:t>
                      </w:r>
                    </w:p>
                  </w:txbxContent>
                </v:textbox>
                <w10:wrap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80"/>
      </w:tblGrid>
      <w:tr w:rsidR="00A32345" w14:paraId="6C17F86C" w14:textId="77777777" w:rsidTr="000C45ED">
        <w:trPr>
          <w:trHeight w:val="720"/>
        </w:trPr>
        <w:tc>
          <w:tcPr>
            <w:tcW w:w="10780" w:type="dxa"/>
            <w:tcBorders>
              <w:top w:val="single" w:sz="8" w:space="0" w:color="54B948"/>
              <w:left w:val="single" w:sz="8" w:space="0" w:color="54B948"/>
              <w:bottom w:val="single" w:sz="8" w:space="0" w:color="54B948"/>
              <w:right w:val="single" w:sz="8" w:space="0" w:color="54B948"/>
            </w:tcBorders>
            <w:shd w:val="clear" w:color="auto" w:fill="54B948"/>
            <w:tcMar>
              <w:left w:w="259" w:type="dxa"/>
              <w:right w:w="115" w:type="dxa"/>
            </w:tcMar>
            <w:vAlign w:val="center"/>
          </w:tcPr>
          <w:p w14:paraId="02D97988" w14:textId="6B5E3E69" w:rsidR="00A32345" w:rsidRPr="00ED7BE9" w:rsidRDefault="005C615E" w:rsidP="00CD7D85">
            <w:pPr>
              <w:pStyle w:val="AppendixName"/>
            </w:pPr>
            <w:r w:rsidRPr="005C615E">
              <w:rPr>
                <w:lang w:val="fr-CA"/>
              </w:rPr>
              <w:lastRenderedPageBreak/>
              <w:t>Carte finale : quel type d’épargne choisiriez-vous ?</w:t>
            </w:r>
          </w:p>
        </w:tc>
      </w:tr>
      <w:tr w:rsidR="00500A5A" w14:paraId="5F87DFCC" w14:textId="77777777" w:rsidTr="001E2BE7">
        <w:trPr>
          <w:trHeight w:val="11115"/>
        </w:trPr>
        <w:tc>
          <w:tcPr>
            <w:tcW w:w="10780" w:type="dxa"/>
            <w:tcBorders>
              <w:top w:val="single" w:sz="8" w:space="0" w:color="54B948"/>
              <w:left w:val="single" w:sz="8" w:space="0" w:color="54B948"/>
              <w:bottom w:val="single" w:sz="8" w:space="0" w:color="54B948"/>
              <w:right w:val="single" w:sz="8" w:space="0" w:color="54B948"/>
            </w:tcBorders>
            <w:shd w:val="clear" w:color="auto" w:fill="auto"/>
            <w:tcMar>
              <w:top w:w="259" w:type="dxa"/>
              <w:left w:w="259" w:type="dxa"/>
              <w:right w:w="259" w:type="dxa"/>
            </w:tcMar>
          </w:tcPr>
          <w:p w14:paraId="182C7A2C" w14:textId="77777777" w:rsidR="00DE6082" w:rsidRPr="00DE6082" w:rsidRDefault="00DE6082" w:rsidP="00DE6082">
            <w:pPr>
              <w:pStyle w:val="NumberedList"/>
              <w:numPr>
                <w:ilvl w:val="0"/>
                <w:numId w:val="8"/>
              </w:numPr>
              <w:ind w:left="259" w:hanging="259"/>
              <w:rPr>
                <w:lang w:val="fr-CA"/>
              </w:rPr>
            </w:pPr>
            <w:r w:rsidRPr="00DE6082">
              <w:rPr>
                <w:lang w:val="fr-CA"/>
              </w:rPr>
              <w:t>Lequel des deux investissements (actions ou comptes bancaires (GIC)) a eu le meilleur rendement (augmentation de l’argent) ?</w:t>
            </w:r>
          </w:p>
          <w:p w14:paraId="6337A862" w14:textId="782DBF12" w:rsidR="00DE7C9C" w:rsidRPr="00DE7C9C" w:rsidRDefault="00DE7C9C" w:rsidP="00781C16">
            <w:pPr>
              <w:pStyle w:val="AppendixLine"/>
            </w:pPr>
            <w:r w:rsidRPr="00DE7C9C">
              <w:t>_____________________________________________________________________________</w:t>
            </w:r>
            <w:r>
              <w:t>___</w:t>
            </w:r>
          </w:p>
          <w:p w14:paraId="17D6DF67" w14:textId="77777777" w:rsidR="00B21A6A" w:rsidRPr="00DE7C9C" w:rsidRDefault="00B21A6A" w:rsidP="00781C16">
            <w:pPr>
              <w:pStyle w:val="AppendixLine"/>
            </w:pPr>
            <w:r w:rsidRPr="00DE7C9C">
              <w:t>_____________________________________________________________________________</w:t>
            </w:r>
            <w:r>
              <w:t>___</w:t>
            </w:r>
          </w:p>
          <w:p w14:paraId="29453B7A" w14:textId="77777777" w:rsidR="00B21A6A" w:rsidRPr="00DE7C9C" w:rsidRDefault="00B21A6A" w:rsidP="00781C16">
            <w:pPr>
              <w:pStyle w:val="AppendixLine"/>
            </w:pPr>
            <w:r w:rsidRPr="00DE7C9C">
              <w:t>_____________________________________________________________________________</w:t>
            </w:r>
            <w:r>
              <w:t>___</w:t>
            </w:r>
          </w:p>
          <w:p w14:paraId="60076E9E" w14:textId="77777777" w:rsidR="00B21A6A" w:rsidRPr="00DE7C9C" w:rsidRDefault="00B21A6A" w:rsidP="00781C16">
            <w:pPr>
              <w:pStyle w:val="AppendixLine"/>
            </w:pPr>
            <w:r w:rsidRPr="00DE7C9C">
              <w:t>_____________________________________________________________________________</w:t>
            </w:r>
            <w:r>
              <w:t>___</w:t>
            </w:r>
          </w:p>
          <w:p w14:paraId="182B7F30" w14:textId="77777777" w:rsidR="00B21A6A" w:rsidRPr="00DE7C9C" w:rsidRDefault="00B21A6A" w:rsidP="00781C16">
            <w:pPr>
              <w:pStyle w:val="AppendixLine"/>
            </w:pPr>
            <w:r w:rsidRPr="00DE7C9C">
              <w:t>_____________________________________________________________________________</w:t>
            </w:r>
            <w:r>
              <w:t>___</w:t>
            </w:r>
          </w:p>
          <w:p w14:paraId="4FF4B7CD" w14:textId="77777777" w:rsidR="00DE7C9C" w:rsidRPr="00DE7C9C" w:rsidRDefault="00DE7C9C" w:rsidP="00B21A6A">
            <w:pPr>
              <w:pStyle w:val="IntroCopy"/>
            </w:pPr>
          </w:p>
          <w:p w14:paraId="726D63DE" w14:textId="77777777" w:rsidR="00DE6082" w:rsidRPr="00DE6082" w:rsidRDefault="00DE6082" w:rsidP="00DE6082">
            <w:pPr>
              <w:pStyle w:val="NumberedList"/>
              <w:rPr>
                <w:lang w:val="fr-CA"/>
              </w:rPr>
            </w:pPr>
            <w:r w:rsidRPr="00DE6082">
              <w:rPr>
                <w:lang w:val="fr-CA"/>
              </w:rPr>
              <w:t>Lequel des deux investissements semble être le plus risqué (a le potentiel de perdre le plus d’argent) ?</w:t>
            </w:r>
          </w:p>
          <w:p w14:paraId="57BB1B78" w14:textId="77777777" w:rsidR="00B21A6A" w:rsidRPr="00DE7C9C" w:rsidRDefault="00B21A6A" w:rsidP="00781C16">
            <w:pPr>
              <w:pStyle w:val="AppendixLine"/>
            </w:pPr>
            <w:r w:rsidRPr="00DE7C9C">
              <w:t>_____________________________________________________________________________</w:t>
            </w:r>
            <w:r>
              <w:t>___</w:t>
            </w:r>
          </w:p>
          <w:p w14:paraId="4019ABED" w14:textId="77777777" w:rsidR="00B21A6A" w:rsidRPr="00DE7C9C" w:rsidRDefault="00B21A6A" w:rsidP="00781C16">
            <w:pPr>
              <w:pStyle w:val="AppendixLine"/>
            </w:pPr>
            <w:r w:rsidRPr="00DE7C9C">
              <w:t>_____________________________________________________________________________</w:t>
            </w:r>
            <w:r>
              <w:t>___</w:t>
            </w:r>
          </w:p>
          <w:p w14:paraId="33E57B11" w14:textId="77777777" w:rsidR="00B21A6A" w:rsidRPr="00DE7C9C" w:rsidRDefault="00B21A6A" w:rsidP="00781C16">
            <w:pPr>
              <w:pStyle w:val="AppendixLine"/>
            </w:pPr>
            <w:r w:rsidRPr="00DE7C9C">
              <w:t>_____________________________________________________________________________</w:t>
            </w:r>
            <w:r>
              <w:t>___</w:t>
            </w:r>
          </w:p>
          <w:p w14:paraId="05AEF819" w14:textId="77777777" w:rsidR="00B21A6A" w:rsidRPr="00DE7C9C" w:rsidRDefault="00B21A6A" w:rsidP="00781C16">
            <w:pPr>
              <w:pStyle w:val="AppendixLine"/>
            </w:pPr>
            <w:r w:rsidRPr="00DE7C9C">
              <w:t>_____________________________________________________________________________</w:t>
            </w:r>
            <w:r>
              <w:t>___</w:t>
            </w:r>
          </w:p>
          <w:p w14:paraId="24707E0C" w14:textId="77777777" w:rsidR="00B21A6A" w:rsidRPr="00DE7C9C" w:rsidRDefault="00B21A6A" w:rsidP="00781C16">
            <w:pPr>
              <w:pStyle w:val="AppendixLine"/>
            </w:pPr>
            <w:r w:rsidRPr="00DE7C9C">
              <w:t>_____________________________________________________________________________</w:t>
            </w:r>
            <w:r>
              <w:t>___</w:t>
            </w:r>
          </w:p>
          <w:p w14:paraId="2E4D2E06" w14:textId="77777777" w:rsidR="00DE7C9C" w:rsidRPr="00DE7C9C" w:rsidRDefault="00DE7C9C" w:rsidP="00B21A6A">
            <w:pPr>
              <w:pStyle w:val="IntroCopy"/>
            </w:pPr>
          </w:p>
          <w:p w14:paraId="19C42B54" w14:textId="77777777" w:rsidR="00DE6082" w:rsidRPr="00DE6082" w:rsidRDefault="00DE6082" w:rsidP="00DE6082">
            <w:pPr>
              <w:pStyle w:val="NumberedList"/>
              <w:rPr>
                <w:lang w:val="fr-CA"/>
              </w:rPr>
            </w:pPr>
            <w:r w:rsidRPr="00DE6082">
              <w:rPr>
                <w:lang w:val="fr-CA"/>
              </w:rPr>
              <w:t>Dans lequel choisiriez-vous d’investir votre argent ? Pourquoi choisiriez-vous de mettre votre argent dans cet investissement ?</w:t>
            </w:r>
          </w:p>
          <w:p w14:paraId="443ED669" w14:textId="77777777" w:rsidR="00B21A6A" w:rsidRPr="00DE7C9C" w:rsidRDefault="00B21A6A" w:rsidP="00781C16">
            <w:pPr>
              <w:pStyle w:val="AppendixLine"/>
            </w:pPr>
            <w:r w:rsidRPr="00DE7C9C">
              <w:t>_____________________________________________________________________________</w:t>
            </w:r>
            <w:r>
              <w:t>___</w:t>
            </w:r>
          </w:p>
          <w:p w14:paraId="39B45688" w14:textId="77777777" w:rsidR="00B21A6A" w:rsidRPr="00DE7C9C" w:rsidRDefault="00B21A6A" w:rsidP="00781C16">
            <w:pPr>
              <w:pStyle w:val="AppendixLine"/>
            </w:pPr>
            <w:r w:rsidRPr="00DE7C9C">
              <w:t>_____________________________________________________________________________</w:t>
            </w:r>
            <w:r>
              <w:t>___</w:t>
            </w:r>
          </w:p>
          <w:p w14:paraId="566877D2" w14:textId="77777777" w:rsidR="00B21A6A" w:rsidRPr="00DE7C9C" w:rsidRDefault="00B21A6A" w:rsidP="00781C16">
            <w:pPr>
              <w:pStyle w:val="AppendixLine"/>
            </w:pPr>
            <w:r w:rsidRPr="00DE7C9C">
              <w:t>_____________________________________________________________________________</w:t>
            </w:r>
            <w:r>
              <w:t>___</w:t>
            </w:r>
          </w:p>
          <w:p w14:paraId="00C99A05" w14:textId="77777777" w:rsidR="00B21A6A" w:rsidRPr="00DE7C9C" w:rsidRDefault="00B21A6A" w:rsidP="00781C16">
            <w:pPr>
              <w:pStyle w:val="AppendixLine"/>
            </w:pPr>
            <w:r w:rsidRPr="00DE7C9C">
              <w:t>_____________________________________________________________________________</w:t>
            </w:r>
            <w:r>
              <w:t>___</w:t>
            </w:r>
          </w:p>
          <w:p w14:paraId="5126666A" w14:textId="77777777" w:rsidR="00B21A6A" w:rsidRPr="00DE7C9C" w:rsidRDefault="00B21A6A" w:rsidP="00781C16">
            <w:pPr>
              <w:pStyle w:val="AppendixLine"/>
            </w:pPr>
            <w:r w:rsidRPr="00DE7C9C">
              <w:t>_____________________________________________________________________________</w:t>
            </w:r>
            <w:r>
              <w:t>___</w:t>
            </w:r>
          </w:p>
          <w:p w14:paraId="4933DDFB" w14:textId="77777777" w:rsidR="00B21A6A" w:rsidRPr="00DE7C9C" w:rsidRDefault="00B21A6A" w:rsidP="00781C16">
            <w:pPr>
              <w:pStyle w:val="AppendixLine"/>
            </w:pPr>
            <w:r w:rsidRPr="00DE7C9C">
              <w:t>_____________________________________________________________________________</w:t>
            </w:r>
            <w:r>
              <w:t>___</w:t>
            </w:r>
          </w:p>
          <w:p w14:paraId="65D7B395" w14:textId="77777777" w:rsidR="00B21A6A" w:rsidRPr="00DE7C9C" w:rsidRDefault="00B21A6A" w:rsidP="00781C16">
            <w:pPr>
              <w:pStyle w:val="AppendixLine"/>
            </w:pPr>
            <w:r w:rsidRPr="00DE7C9C">
              <w:t>_____________________________________________________________________________</w:t>
            </w:r>
            <w:r>
              <w:t>___</w:t>
            </w:r>
          </w:p>
          <w:p w14:paraId="6EA232E8" w14:textId="75D015BB" w:rsidR="00500A5A" w:rsidRDefault="00B21A6A" w:rsidP="00781C16">
            <w:pPr>
              <w:pStyle w:val="AppendixLine"/>
            </w:pPr>
            <w:r w:rsidRPr="00DE7C9C">
              <w:t>_____________________________________________________________________________</w:t>
            </w:r>
            <w:r>
              <w:t>___</w:t>
            </w:r>
          </w:p>
        </w:tc>
      </w:tr>
    </w:tbl>
    <w:p w14:paraId="7AA17623" w14:textId="6DB873B9" w:rsidR="00906E2E" w:rsidRDefault="00906E2E">
      <w:pPr>
        <w:rPr>
          <w:rFonts w:ascii="Verdana" w:hAnsi="Verdana" w:cs="Arial"/>
          <w:sz w:val="36"/>
          <w:szCs w:val="36"/>
        </w:rPr>
      </w:pPr>
      <w:r>
        <w:rPr>
          <w:rFonts w:ascii="Verdana" w:hAnsi="Verdana" w:cs="Arial"/>
          <w:noProof/>
          <w:color w:val="FFFFFF" w:themeColor="background1"/>
          <w:sz w:val="36"/>
          <w:szCs w:val="36"/>
        </w:rPr>
        <mc:AlternateContent>
          <mc:Choice Requires="wps">
            <w:drawing>
              <wp:anchor distT="0" distB="0" distL="114300" distR="114300" simplePos="0" relativeHeight="251666432" behindDoc="0" locked="0" layoutInCell="1" allowOverlap="1" wp14:anchorId="27928FF7" wp14:editId="329950ED">
                <wp:simplePos x="0" y="0"/>
                <wp:positionH relativeFrom="column">
                  <wp:posOffset>0</wp:posOffset>
                </wp:positionH>
                <wp:positionV relativeFrom="page">
                  <wp:posOffset>102770</wp:posOffset>
                </wp:positionV>
                <wp:extent cx="1413510" cy="30480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1413510" cy="304800"/>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3BAD82DB" w14:textId="307AAD8E" w:rsidR="000C45ED" w:rsidRPr="00ED7BE9" w:rsidRDefault="003E0AF5" w:rsidP="00906E2E">
                            <w:pPr>
                              <w:rPr>
                                <w:rFonts w:ascii="Verdana" w:hAnsi="Verdana"/>
                                <w:b/>
                                <w:color w:val="54B948"/>
                                <w:sz w:val="26"/>
                                <w:szCs w:val="26"/>
                                <w:lang w:val="en-CA"/>
                              </w:rPr>
                            </w:pPr>
                            <w:r>
                              <w:rPr>
                                <w:rFonts w:ascii="Verdana" w:hAnsi="Verdana"/>
                                <w:b/>
                                <w:color w:val="54B948"/>
                                <w:sz w:val="26"/>
                                <w:szCs w:val="26"/>
                                <w:lang w:val="en-CA"/>
                              </w:rPr>
                              <w:t xml:space="preserve">ANNEXE </w:t>
                            </w:r>
                            <w:r w:rsidR="00B848F7">
                              <w:rPr>
                                <w:rFonts w:ascii="Verdana" w:hAnsi="Verdana"/>
                                <w:b/>
                                <w:color w:val="54B948"/>
                                <w:sz w:val="26"/>
                                <w:szCs w:val="26"/>
                                <w:lang w:val="en-CA"/>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928FF7" id="Text Box 20" o:spid="_x0000_s1027" type="#_x0000_t202" style="position:absolute;margin-left:0;margin-top:8.1pt;width:111.3pt;height:2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" filled="f" stroked="f">
                <v:textbox>
                  <w:txbxContent>
                    <w:p w14:paraId="3BAD82DB" w14:textId="307AAD8E" w:rsidR="000C45ED" w:rsidRPr="00ED7BE9" w:rsidRDefault="003E0AF5" w:rsidP="00906E2E">
                      <w:pPr>
                        <w:rPr>
                          <w:rFonts w:ascii="Verdana" w:hAnsi="Verdana"/>
                          <w:b/>
                          <w:color w:val="54B948"/>
                          <w:sz w:val="26"/>
                          <w:szCs w:val="26"/>
                          <w:lang w:val="en-CA"/>
                        </w:rPr>
                      </w:pPr>
                      <w:r>
                        <w:rPr>
                          <w:rFonts w:ascii="Verdana" w:hAnsi="Verdana"/>
                          <w:b/>
                          <w:color w:val="54B948"/>
                          <w:sz w:val="26"/>
                          <w:szCs w:val="26"/>
                          <w:lang w:val="en-CA"/>
                        </w:rPr>
                        <w:t xml:space="preserve">ANNEXE </w:t>
                      </w:r>
                      <w:r w:rsidR="00B848F7">
                        <w:rPr>
                          <w:rFonts w:ascii="Verdana" w:hAnsi="Verdana"/>
                          <w:b/>
                          <w:color w:val="54B948"/>
                          <w:sz w:val="26"/>
                          <w:szCs w:val="26"/>
                          <w:lang w:val="en-CA"/>
                        </w:rPr>
                        <w:t>B</w:t>
                      </w:r>
                    </w:p>
                  </w:txbxContent>
                </v:textbox>
                <w10:wrap anchory="page"/>
              </v:shape>
            </w:pict>
          </mc:Fallback>
        </mc:AlternateContent>
      </w:r>
    </w:p>
    <w:sectPr w:rsidR="00906E2E" w:rsidSect="00F61662">
      <w:headerReference w:type="default" r:id="rId19"/>
      <w:footerReference w:type="default" r:id="rId20"/>
      <w:pgSz w:w="12240" w:h="15840"/>
      <w:pgMar w:top="540" w:right="720" w:bottom="720" w:left="720" w:header="1152" w:footer="1080"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7921CA" w14:textId="77777777" w:rsidR="00CA210F" w:rsidRDefault="00CA210F" w:rsidP="000219F5">
      <w:r>
        <w:separator/>
      </w:r>
    </w:p>
  </w:endnote>
  <w:endnote w:type="continuationSeparator" w:id="0">
    <w:p w14:paraId="2080B4FB" w14:textId="77777777" w:rsidR="00CA210F" w:rsidRDefault="00CA210F" w:rsidP="0002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auto"/>
    <w:pitch w:val="variable"/>
    <w:sig w:usb0="E00002FF" w:usb1="4000ACFF" w:usb2="00000001" w:usb3="00000000" w:csb0="0000019F" w:csb1="00000000"/>
  </w:font>
  <w:font w:name="Times">
    <w:panose1 w:val="02000500000000000000"/>
    <w:charset w:val="00"/>
    <w:family w:val="auto"/>
    <w:pitch w:val="variable"/>
    <w:sig w:usb0="00000003" w:usb1="00000000" w:usb2="00000000" w:usb3="00000000" w:csb0="00000001" w:csb1="00000000"/>
  </w:font>
  <w:font w:name="Gotham Light">
    <w:altName w:val="Calibri"/>
    <w:panose1 w:val="00000000000000000000"/>
    <w:charset w:val="00"/>
    <w:family w:val="swiss"/>
    <w:notTrueType/>
    <w:pitch w:val="default"/>
    <w:sig w:usb0="00000003" w:usb1="00000000" w:usb2="00000000" w:usb3="00000000" w:csb0="00000001" w:csb1="00000000"/>
  </w:font>
  <w:font w:name="Gotham Medium">
    <w:altName w:val="Calibri"/>
    <w:panose1 w:val="00000000000000000000"/>
    <w:charset w:val="00"/>
    <w:family w:val="swiss"/>
    <w:notTrueType/>
    <w:pitch w:val="default"/>
    <w:sig w:usb0="00000003" w:usb1="00000000" w:usb2="00000000" w:usb3="00000000" w:csb0="00000001" w:csb1="00000000"/>
  </w:font>
  <w:font w:name="Segoe UI">
    <w:altName w:val="Times New Roman"/>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97C58B" w14:textId="77777777" w:rsidR="000C45ED" w:rsidRDefault="000C45ED" w:rsidP="000C45E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9823A77" w14:textId="77777777" w:rsidR="000C45ED" w:rsidRDefault="000C45ED" w:rsidP="003F187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3E282" w14:textId="77777777" w:rsidR="000C45ED" w:rsidRPr="00295906" w:rsidRDefault="000C45ED" w:rsidP="009336FB">
    <w:pPr>
      <w:pStyle w:val="Footer"/>
      <w:framePr w:h="253" w:hRule="exact" w:wrap="none" w:vAnchor="text" w:hAnchor="page" w:x="11181" w:y="195"/>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037CB3">
      <w:rPr>
        <w:rStyle w:val="PageNumber"/>
        <w:rFonts w:ascii="Verdana" w:hAnsi="Verdana" w:cs="Arial"/>
        <w:b/>
        <w:noProof/>
        <w:color w:val="FFFFFF" w:themeColor="background1"/>
        <w:sz w:val="20"/>
        <w:szCs w:val="20"/>
      </w:rPr>
      <w:t>5</w:t>
    </w:r>
    <w:r w:rsidRPr="00295906">
      <w:rPr>
        <w:rStyle w:val="PageNumber"/>
        <w:rFonts w:ascii="Verdana" w:hAnsi="Verdana" w:cs="Arial"/>
        <w:b/>
        <w:color w:val="FFFFFF" w:themeColor="background1"/>
        <w:sz w:val="20"/>
        <w:szCs w:val="20"/>
      </w:rPr>
      <w:fldChar w:fldCharType="end"/>
    </w:r>
  </w:p>
  <w:p w14:paraId="6CB54B19" w14:textId="77777777" w:rsidR="000C45ED" w:rsidRPr="003F187B" w:rsidRDefault="000C45ED"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68480" behindDoc="1" locked="0" layoutInCell="1" allowOverlap="1" wp14:anchorId="396E8712" wp14:editId="60409E1F">
              <wp:simplePos x="0" y="0"/>
              <wp:positionH relativeFrom="column">
                <wp:posOffset>6515100</wp:posOffset>
              </wp:positionH>
              <wp:positionV relativeFrom="paragraph">
                <wp:posOffset>34290</wp:posOffset>
              </wp:positionV>
              <wp:extent cx="342900" cy="342900"/>
              <wp:effectExtent l="0" t="0" r="12700" b="12700"/>
              <wp:wrapNone/>
              <wp:docPr id="4" name="Oval 4"/>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64AA4FB2" id="Oval 4" o:spid="_x0000_s1026" style="position:absolute;margin-left:513pt;margin-top:2.7pt;width:27pt;height:27pt;z-index:-251648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60288" behindDoc="0" locked="0" layoutInCell="1" allowOverlap="1" wp14:anchorId="29FEEA46" wp14:editId="336E3F32">
          <wp:simplePos x="0" y="0"/>
          <wp:positionH relativeFrom="column">
            <wp:posOffset>-6350</wp:posOffset>
          </wp:positionH>
          <wp:positionV relativeFrom="paragraph">
            <wp:posOffset>50800</wp:posOffset>
          </wp:positionV>
          <wp:extent cx="2963877" cy="387350"/>
          <wp:effectExtent l="0" t="0" r="825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6811EF" w14:textId="77777777" w:rsidR="000C45ED" w:rsidRPr="00295906" w:rsidRDefault="000C45ED" w:rsidP="009336FB">
    <w:pPr>
      <w:pStyle w:val="Footer"/>
      <w:framePr w:w="471" w:h="253" w:hRule="exact" w:wrap="none" w:vAnchor="text" w:hAnchor="page" w:x="11011" w:y="201"/>
      <w:jc w:val="center"/>
      <w:rPr>
        <w:rStyle w:val="PageNumber"/>
        <w:rFonts w:ascii="Verdana" w:hAnsi="Verdana" w:cs="Arial"/>
        <w:b/>
        <w:color w:val="FFFFFF" w:themeColor="background1"/>
        <w:sz w:val="20"/>
        <w:szCs w:val="20"/>
      </w:rPr>
    </w:pPr>
    <w:r w:rsidRPr="00295906">
      <w:rPr>
        <w:rStyle w:val="PageNumber"/>
        <w:rFonts w:ascii="Verdana" w:hAnsi="Verdana" w:cs="Arial"/>
        <w:b/>
        <w:color w:val="FFFFFF" w:themeColor="background1"/>
        <w:sz w:val="20"/>
        <w:szCs w:val="20"/>
      </w:rPr>
      <w:fldChar w:fldCharType="begin"/>
    </w:r>
    <w:r w:rsidRPr="00295906">
      <w:rPr>
        <w:rStyle w:val="PageNumber"/>
        <w:rFonts w:ascii="Verdana" w:hAnsi="Verdana" w:cs="Arial"/>
        <w:b/>
        <w:color w:val="FFFFFF" w:themeColor="background1"/>
        <w:sz w:val="20"/>
        <w:szCs w:val="20"/>
      </w:rPr>
      <w:instrText xml:space="preserve">PAGE  </w:instrText>
    </w:r>
    <w:r w:rsidRPr="00295906">
      <w:rPr>
        <w:rStyle w:val="PageNumber"/>
        <w:rFonts w:ascii="Verdana" w:hAnsi="Verdana" w:cs="Arial"/>
        <w:b/>
        <w:color w:val="FFFFFF" w:themeColor="background1"/>
        <w:sz w:val="20"/>
        <w:szCs w:val="20"/>
      </w:rPr>
      <w:fldChar w:fldCharType="separate"/>
    </w:r>
    <w:r w:rsidR="00037CB3">
      <w:rPr>
        <w:rStyle w:val="PageNumber"/>
        <w:rFonts w:ascii="Verdana" w:hAnsi="Verdana" w:cs="Arial"/>
        <w:b/>
        <w:noProof/>
        <w:color w:val="FFFFFF" w:themeColor="background1"/>
        <w:sz w:val="20"/>
        <w:szCs w:val="20"/>
      </w:rPr>
      <w:t>7</w:t>
    </w:r>
    <w:r w:rsidRPr="00295906">
      <w:rPr>
        <w:rStyle w:val="PageNumber"/>
        <w:rFonts w:ascii="Verdana" w:hAnsi="Verdana" w:cs="Arial"/>
        <w:b/>
        <w:color w:val="FFFFFF" w:themeColor="background1"/>
        <w:sz w:val="20"/>
        <w:szCs w:val="20"/>
      </w:rPr>
      <w:fldChar w:fldCharType="end"/>
    </w:r>
  </w:p>
  <w:p w14:paraId="4B8501C6" w14:textId="77777777" w:rsidR="000C45ED" w:rsidRPr="003F187B" w:rsidRDefault="000C45ED" w:rsidP="003F187B">
    <w:pPr>
      <w:pStyle w:val="Footer"/>
      <w:ind w:right="360"/>
      <w:rPr>
        <w:rFonts w:ascii="Arial" w:hAnsi="Arial" w:cs="Arial"/>
        <w:b/>
        <w:color w:val="FFFFFF" w:themeColor="background1"/>
        <w:sz w:val="20"/>
        <w:szCs w:val="20"/>
      </w:rPr>
    </w:pPr>
    <w:r>
      <w:rPr>
        <w:rFonts w:ascii="Arial" w:hAnsi="Arial" w:cs="Arial"/>
        <w:b/>
        <w:noProof/>
        <w:color w:val="FFFFFF" w:themeColor="background1"/>
        <w:sz w:val="20"/>
        <w:szCs w:val="20"/>
      </w:rPr>
      <mc:AlternateContent>
        <mc:Choice Requires="wps">
          <w:drawing>
            <wp:anchor distT="0" distB="0" distL="114300" distR="114300" simplePos="0" relativeHeight="251679744" behindDoc="1" locked="0" layoutInCell="1" allowOverlap="1" wp14:anchorId="45BAB9D3" wp14:editId="2777BF2D">
              <wp:simplePos x="0" y="0"/>
              <wp:positionH relativeFrom="column">
                <wp:posOffset>6515100</wp:posOffset>
              </wp:positionH>
              <wp:positionV relativeFrom="paragraph">
                <wp:posOffset>34290</wp:posOffset>
              </wp:positionV>
              <wp:extent cx="342900" cy="342900"/>
              <wp:effectExtent l="0" t="0" r="12700" b="12700"/>
              <wp:wrapNone/>
              <wp:docPr id="39" name="Oval 39"/>
              <wp:cNvGraphicFramePr/>
              <a:graphic xmlns:a="http://schemas.openxmlformats.org/drawingml/2006/main">
                <a:graphicData uri="http://schemas.microsoft.com/office/word/2010/wordprocessingShape">
                  <wps:wsp>
                    <wps:cNvSpPr/>
                    <wps:spPr>
                      <a:xfrm>
                        <a:off x="0" y="0"/>
                        <a:ext cx="342900" cy="342900"/>
                      </a:xfrm>
                      <a:prstGeom prst="ellipse">
                        <a:avLst/>
                      </a:prstGeom>
                      <a:solidFill>
                        <a:srgbClr val="3F708E"/>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w14:anchorId="739BFCB0" id="Oval 39" o:spid="_x0000_s1026" style="position:absolute;margin-left:513pt;margin-top:2.7pt;width:27pt;height:27pt;z-index:-2516367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" fillcolor="#3f708e" stroked="f" strokeweight="1pt">
              <v:stroke joinstyle="miter"/>
            </v:oval>
          </w:pict>
        </mc:Fallback>
      </mc:AlternateContent>
    </w:r>
    <w:r w:rsidRPr="003F187B">
      <w:rPr>
        <w:rFonts w:ascii="Arial" w:hAnsi="Arial" w:cs="Arial"/>
        <w:b/>
        <w:noProof/>
        <w:color w:val="FFFFFF" w:themeColor="background1"/>
        <w:sz w:val="20"/>
        <w:szCs w:val="20"/>
      </w:rPr>
      <w:drawing>
        <wp:anchor distT="0" distB="0" distL="114300" distR="114300" simplePos="0" relativeHeight="251678720" behindDoc="0" locked="0" layoutInCell="1" allowOverlap="1" wp14:anchorId="37EDEDED" wp14:editId="3DCD6900">
          <wp:simplePos x="0" y="0"/>
          <wp:positionH relativeFrom="column">
            <wp:posOffset>-6350</wp:posOffset>
          </wp:positionH>
          <wp:positionV relativeFrom="paragraph">
            <wp:posOffset>50800</wp:posOffset>
          </wp:positionV>
          <wp:extent cx="2963877" cy="387350"/>
          <wp:effectExtent l="0" t="0" r="8255"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en.png"/>
                  <pic:cNvPicPr/>
                </pic:nvPicPr>
                <pic:blipFill>
                  <a:blip r:embed="rId1">
                    <a:extLst>
                      <a:ext uri="{28A0092B-C50C-407E-A947-70E740481C1C}">
                        <a14:useLocalDpi xmlns:a14="http://schemas.microsoft.com/office/drawing/2010/main" val="0"/>
                      </a:ext>
                    </a:extLst>
                  </a:blip>
                  <a:stretch>
                    <a:fillRect/>
                  </a:stretch>
                </pic:blipFill>
                <pic:spPr>
                  <a:xfrm>
                    <a:off x="0" y="0"/>
                    <a:ext cx="2963877" cy="38735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55A06" w14:textId="77777777" w:rsidR="00CA210F" w:rsidRDefault="00CA210F" w:rsidP="000219F5">
      <w:r>
        <w:separator/>
      </w:r>
    </w:p>
  </w:footnote>
  <w:footnote w:type="continuationSeparator" w:id="0">
    <w:p w14:paraId="5871A478" w14:textId="77777777" w:rsidR="00CA210F" w:rsidRDefault="00CA210F" w:rsidP="000219F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12865" w14:textId="77777777" w:rsidR="000C45ED" w:rsidRPr="003F187B" w:rsidRDefault="000C45ED" w:rsidP="00567EC5">
    <w:pPr>
      <w:pStyle w:val="Header"/>
      <w:spacing w:after="760"/>
      <w:ind w:left="446"/>
    </w:pPr>
    <w:r>
      <w:rPr>
        <w:noProof/>
      </w:rPr>
      <mc:AlternateContent>
        <mc:Choice Requires="wps">
          <w:drawing>
            <wp:anchor distT="0" distB="0" distL="114300" distR="114300" simplePos="0" relativeHeight="251674624" behindDoc="0" locked="0" layoutInCell="1" allowOverlap="1" wp14:anchorId="7D2EBDC3" wp14:editId="0532E412">
              <wp:simplePos x="0" y="0"/>
              <wp:positionH relativeFrom="column">
                <wp:posOffset>0</wp:posOffset>
              </wp:positionH>
              <wp:positionV relativeFrom="page">
                <wp:posOffset>457200</wp:posOffset>
              </wp:positionV>
              <wp:extent cx="4864100" cy="11188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864100" cy="1118870"/>
                      </a:xfrm>
                      <a:prstGeom prst="rect">
                        <a:avLst/>
                      </a:prstGeom>
                      <a:noFill/>
                      <a:ln>
                        <a:noFill/>
                      </a:ln>
                      <a:effectLst/>
                    </wps:spPr>
                    <wps:txbx>
                      <w:txbxContent>
                        <w:p w14:paraId="079CB5AD" w14:textId="48075CA9" w:rsidR="000C45ED" w:rsidRPr="00AE5BE0" w:rsidRDefault="00AE5BE0" w:rsidP="00284777">
                          <w:pPr>
                            <w:pStyle w:val="Heading"/>
                            <w:rPr>
                              <w:sz w:val="42"/>
                              <w:szCs w:val="42"/>
                            </w:rPr>
                          </w:pPr>
                          <w:r w:rsidRPr="00AE5BE0">
                            <w:rPr>
                              <w:sz w:val="42"/>
                              <w:szCs w:val="42"/>
                              <w:lang w:val="fr-CA"/>
                            </w:rPr>
                            <w:t>La folie des marchés boursiers :</w:t>
                          </w:r>
                          <w:r w:rsidR="0047309F" w:rsidRPr="00AE5BE0">
                            <w:rPr>
                              <w:sz w:val="42"/>
                              <w:szCs w:val="42"/>
                              <w:lang w:val="en-US"/>
                            </w:rPr>
                            <w:br/>
                          </w:r>
                          <w:r w:rsidRPr="00AE5BE0">
                            <w:rPr>
                              <w:sz w:val="42"/>
                              <w:szCs w:val="42"/>
                              <w:lang w:val="fr-CA"/>
                            </w:rPr>
                            <w:t xml:space="preserve">comparaison des rendements </w:t>
                          </w:r>
                          <w:r>
                            <w:rPr>
                              <w:sz w:val="42"/>
                              <w:szCs w:val="42"/>
                              <w:lang w:val="fr-CA"/>
                            </w:rPr>
                            <w:br/>
                          </w:r>
                          <w:r w:rsidRPr="00AE5BE0">
                            <w:rPr>
                              <w:sz w:val="42"/>
                              <w:szCs w:val="42"/>
                              <w:lang w:val="fr-CA"/>
                            </w:rPr>
                            <w:t>du marché boursier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2EBDC3" id="_x0000_t202" coordsize="21600,21600" o:spt="202" path="m0,0l0,21600,21600,21600,21600,0xe">
              <v:stroke joinstyle="miter"/>
              <v:path gradientshapeok="t" o:connecttype="rect"/>
            </v:shapetype>
            <v:shape id="Text Box 5" o:spid="_x0000_s1028" type="#_x0000_t202" style="position:absolute;left:0;text-align:left;margin-left:0;margin-top:36pt;width:383pt;height:88.1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" filled="f" stroked="f">
              <v:textbox>
                <w:txbxContent>
                  <w:p w14:paraId="079CB5AD" w14:textId="48075CA9" w:rsidR="000C45ED" w:rsidRPr="00AE5BE0" w:rsidRDefault="00AE5BE0" w:rsidP="00284777">
                    <w:pPr>
                      <w:pStyle w:val="Heading"/>
                      <w:rPr>
                        <w:sz w:val="42"/>
                        <w:szCs w:val="42"/>
                      </w:rPr>
                    </w:pPr>
                    <w:r w:rsidRPr="00AE5BE0">
                      <w:rPr>
                        <w:sz w:val="42"/>
                        <w:szCs w:val="42"/>
                        <w:lang w:val="fr-CA"/>
                      </w:rPr>
                      <w:t>La folie des marchés boursiers :</w:t>
                    </w:r>
                    <w:r w:rsidR="0047309F" w:rsidRPr="00AE5BE0">
                      <w:rPr>
                        <w:sz w:val="42"/>
                        <w:szCs w:val="42"/>
                        <w:lang w:val="en-US"/>
                      </w:rPr>
                      <w:br/>
                    </w:r>
                    <w:r w:rsidRPr="00AE5BE0">
                      <w:rPr>
                        <w:sz w:val="42"/>
                        <w:szCs w:val="42"/>
                        <w:lang w:val="fr-CA"/>
                      </w:rPr>
                      <w:t xml:space="preserve">comparaison des rendements </w:t>
                    </w:r>
                    <w:r>
                      <w:rPr>
                        <w:sz w:val="42"/>
                        <w:szCs w:val="42"/>
                        <w:lang w:val="fr-CA"/>
                      </w:rPr>
                      <w:br/>
                    </w:r>
                    <w:r w:rsidRPr="00AE5BE0">
                      <w:rPr>
                        <w:sz w:val="42"/>
                        <w:szCs w:val="42"/>
                        <w:lang w:val="fr-CA"/>
                      </w:rPr>
                      <w:t>du marché boursier</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67456" behindDoc="1" locked="0" layoutInCell="1" allowOverlap="1" wp14:anchorId="0C642E54" wp14:editId="7A52114C">
          <wp:simplePos x="0" y="0"/>
          <wp:positionH relativeFrom="column">
            <wp:posOffset>0</wp:posOffset>
          </wp:positionH>
          <wp:positionV relativeFrom="page">
            <wp:posOffset>456353</wp:posOffset>
          </wp:positionV>
          <wp:extent cx="6858000" cy="1129284"/>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129284"/>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F0C2DB" w14:textId="77777777" w:rsidR="000C45ED" w:rsidRPr="003F187B" w:rsidRDefault="000C45ED" w:rsidP="00567EC5">
    <w:pPr>
      <w:pStyle w:val="Header"/>
      <w:spacing w:after="480"/>
      <w:ind w:left="360"/>
    </w:pPr>
    <w:r>
      <w:rPr>
        <w:noProof/>
      </w:rPr>
      <mc:AlternateContent>
        <mc:Choice Requires="wps">
          <w:drawing>
            <wp:anchor distT="0" distB="0" distL="114300" distR="114300" simplePos="0" relativeHeight="251672576" behindDoc="0" locked="0" layoutInCell="1" allowOverlap="1" wp14:anchorId="277B2ABF" wp14:editId="35D1AA97">
              <wp:simplePos x="0" y="0"/>
              <wp:positionH relativeFrom="column">
                <wp:posOffset>25399</wp:posOffset>
              </wp:positionH>
              <wp:positionV relativeFrom="page">
                <wp:posOffset>474133</wp:posOffset>
              </wp:positionV>
              <wp:extent cx="4885267" cy="673735"/>
              <wp:effectExtent l="0" t="0" r="0" b="12065"/>
              <wp:wrapNone/>
              <wp:docPr id="1" name="Text Box 1"/>
              <wp:cNvGraphicFramePr/>
              <a:graphic xmlns:a="http://schemas.openxmlformats.org/drawingml/2006/main">
                <a:graphicData uri="http://schemas.microsoft.com/office/word/2010/wordprocessingShape">
                  <wps:wsp>
                    <wps:cNvSpPr txBox="1"/>
                    <wps:spPr>
                      <a:xfrm>
                        <a:off x="0" y="0"/>
                        <a:ext cx="4885267" cy="673735"/>
                      </a:xfrm>
                      <a:prstGeom prst="rect">
                        <a:avLst/>
                      </a:prstGeom>
                      <a:noFill/>
                      <a:ln>
                        <a:noFill/>
                      </a:ln>
                      <a:effectLst/>
                    </wps:spPr>
                    <wps:txbx>
                      <w:txbxContent>
                        <w:p w14:paraId="6ADA1B55" w14:textId="691E8E67" w:rsidR="000C45ED" w:rsidRPr="00AE5BE0" w:rsidRDefault="00AE5BE0" w:rsidP="002517FC">
                          <w:pPr>
                            <w:pStyle w:val="Header"/>
                            <w:rPr>
                              <w:rFonts w:ascii="Verdana" w:hAnsi="Verdana" w:cs="Arial"/>
                              <w:color w:val="FFFFFF" w:themeColor="background1"/>
                              <w:sz w:val="32"/>
                              <w:szCs w:val="32"/>
                              <w:lang w:val="en-CA"/>
                            </w:rPr>
                          </w:pPr>
                          <w:r w:rsidRPr="00AE5BE0">
                            <w:rPr>
                              <w:rFonts w:ascii="Verdana" w:hAnsi="Verdana" w:cs="Arial"/>
                              <w:color w:val="FFFFFF" w:themeColor="background1"/>
                              <w:sz w:val="32"/>
                              <w:szCs w:val="32"/>
                              <w:lang w:val="fr-CA"/>
                            </w:rPr>
                            <w:t>La folie des marchés boursiers :</w:t>
                          </w:r>
                          <w:r w:rsidRPr="00AE5BE0">
                            <w:rPr>
                              <w:rFonts w:ascii="Verdana" w:hAnsi="Verdana" w:cs="Arial"/>
                              <w:color w:val="FFFFFF" w:themeColor="background1"/>
                              <w:sz w:val="32"/>
                              <w:szCs w:val="32"/>
                            </w:rPr>
                            <w:t xml:space="preserve"> </w:t>
                          </w:r>
                          <w:r w:rsidRPr="00AE5BE0">
                            <w:rPr>
                              <w:rFonts w:ascii="Verdana" w:hAnsi="Verdana" w:cs="Arial"/>
                              <w:color w:val="FFFFFF" w:themeColor="background1"/>
                              <w:sz w:val="32"/>
                              <w:szCs w:val="32"/>
                              <w:lang w:val="fr-CA"/>
                            </w:rPr>
                            <w:t>comparaison des rendements du marché boursier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7B2ABF" id="_x0000_t202" coordsize="21600,21600" o:spt="202" path="m0,0l0,21600,21600,21600,21600,0xe">
              <v:stroke joinstyle="miter"/>
              <v:path gradientshapeok="t" o:connecttype="rect"/>
            </v:shapetype>
            <v:shape id="Text Box 1" o:spid="_x0000_s1029" type="#_x0000_t202" style="position:absolute;left:0;text-align:left;margin-left:2pt;margin-top:37.35pt;width:384.65pt;height:53.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" filled="f" stroked="f">
              <v:textbox>
                <w:txbxContent>
                  <w:p w14:paraId="6ADA1B55" w14:textId="691E8E67" w:rsidR="000C45ED" w:rsidRPr="00AE5BE0" w:rsidRDefault="00AE5BE0" w:rsidP="002517FC">
                    <w:pPr>
                      <w:pStyle w:val="Header"/>
                      <w:rPr>
                        <w:rFonts w:ascii="Verdana" w:hAnsi="Verdana" w:cs="Arial"/>
                        <w:color w:val="FFFFFF" w:themeColor="background1"/>
                        <w:sz w:val="32"/>
                        <w:szCs w:val="32"/>
                        <w:lang w:val="en-CA"/>
                      </w:rPr>
                    </w:pPr>
                    <w:r w:rsidRPr="00AE5BE0">
                      <w:rPr>
                        <w:rFonts w:ascii="Verdana" w:hAnsi="Verdana" w:cs="Arial"/>
                        <w:color w:val="FFFFFF" w:themeColor="background1"/>
                        <w:sz w:val="32"/>
                        <w:szCs w:val="32"/>
                        <w:lang w:val="fr-CA"/>
                      </w:rPr>
                      <w:t>La folie des marchés boursiers :</w:t>
                    </w:r>
                    <w:r w:rsidRPr="00AE5BE0">
                      <w:rPr>
                        <w:rFonts w:ascii="Verdana" w:hAnsi="Verdana" w:cs="Arial"/>
                        <w:color w:val="FFFFFF" w:themeColor="background1"/>
                        <w:sz w:val="32"/>
                        <w:szCs w:val="32"/>
                      </w:rPr>
                      <w:t xml:space="preserve"> </w:t>
                    </w:r>
                    <w:r w:rsidRPr="00AE5BE0">
                      <w:rPr>
                        <w:rFonts w:ascii="Verdana" w:hAnsi="Verdana" w:cs="Arial"/>
                        <w:color w:val="FFFFFF" w:themeColor="background1"/>
                        <w:sz w:val="32"/>
                        <w:szCs w:val="32"/>
                        <w:lang w:val="fr-CA"/>
                      </w:rPr>
                      <w:t>comparaison des rendements du marché boursier</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70528" behindDoc="1" locked="0" layoutInCell="1" allowOverlap="1" wp14:anchorId="6134DB62" wp14:editId="43D12E9F">
          <wp:simplePos x="0" y="0"/>
          <wp:positionH relativeFrom="column">
            <wp:posOffset>0</wp:posOffset>
          </wp:positionH>
          <wp:positionV relativeFrom="page">
            <wp:posOffset>457200</wp:posOffset>
          </wp:positionV>
          <wp:extent cx="6858000" cy="690372"/>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BCEC3E" w14:textId="5A305356" w:rsidR="000C45ED" w:rsidRPr="003F187B" w:rsidRDefault="000C45ED" w:rsidP="00872DBF">
    <w:pPr>
      <w:pStyle w:val="Header"/>
      <w:tabs>
        <w:tab w:val="clear" w:pos="4680"/>
        <w:tab w:val="clear" w:pos="9360"/>
        <w:tab w:val="left" w:pos="2528"/>
      </w:tabs>
      <w:spacing w:after="480"/>
      <w:ind w:left="360"/>
    </w:pPr>
    <w:r>
      <w:rPr>
        <w:rFonts w:ascii="Verdana" w:hAnsi="Verdana" w:cs="Arial"/>
        <w:noProof/>
        <w:color w:val="FFFFFF" w:themeColor="background1"/>
        <w:sz w:val="36"/>
        <w:szCs w:val="36"/>
      </w:rPr>
      <mc:AlternateContent>
        <mc:Choice Requires="wps">
          <w:drawing>
            <wp:anchor distT="0" distB="0" distL="114300" distR="114300" simplePos="0" relativeHeight="251681792" behindDoc="0" locked="0" layoutInCell="1" allowOverlap="1" wp14:anchorId="0AF9F924" wp14:editId="65626695">
              <wp:simplePos x="0" y="0"/>
              <wp:positionH relativeFrom="column">
                <wp:posOffset>-1</wp:posOffset>
              </wp:positionH>
              <wp:positionV relativeFrom="page">
                <wp:posOffset>482600</wp:posOffset>
              </wp:positionV>
              <wp:extent cx="4885267" cy="649605"/>
              <wp:effectExtent l="0" t="0" r="0" b="10795"/>
              <wp:wrapNone/>
              <wp:docPr id="22" name="Text Box 22"/>
              <wp:cNvGraphicFramePr/>
              <a:graphic xmlns:a="http://schemas.openxmlformats.org/drawingml/2006/main">
                <a:graphicData uri="http://schemas.microsoft.com/office/word/2010/wordprocessingShape">
                  <wps:wsp>
                    <wps:cNvSpPr txBox="1"/>
                    <wps:spPr>
                      <a:xfrm>
                        <a:off x="0" y="0"/>
                        <a:ext cx="4885267" cy="64960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72B49235" w14:textId="0B06615C" w:rsidR="000C45ED" w:rsidRPr="00AE5BE0" w:rsidRDefault="00AE5BE0" w:rsidP="00AE5BE0">
                          <w:pPr>
                            <w:pStyle w:val="Header"/>
                            <w:rPr>
                              <w:rFonts w:ascii="Verdana" w:hAnsi="Verdana" w:cs="Arial"/>
                              <w:color w:val="FFFFFF" w:themeColor="background1"/>
                              <w:sz w:val="32"/>
                              <w:szCs w:val="32"/>
                              <w:lang w:val="en-CA"/>
                            </w:rPr>
                          </w:pPr>
                          <w:r w:rsidRPr="00AE5BE0">
                            <w:rPr>
                              <w:rFonts w:ascii="Verdana" w:hAnsi="Verdana" w:cs="Arial"/>
                              <w:color w:val="FFFFFF" w:themeColor="background1"/>
                              <w:sz w:val="32"/>
                              <w:szCs w:val="32"/>
                              <w:lang w:val="fr-CA"/>
                            </w:rPr>
                            <w:t>La folie des marchés boursiers :</w:t>
                          </w:r>
                          <w:r w:rsidRPr="00AE5BE0">
                            <w:rPr>
                              <w:rFonts w:ascii="Verdana" w:hAnsi="Verdana" w:cs="Arial"/>
                              <w:color w:val="FFFFFF" w:themeColor="background1"/>
                              <w:sz w:val="32"/>
                              <w:szCs w:val="32"/>
                            </w:rPr>
                            <w:t xml:space="preserve"> </w:t>
                          </w:r>
                          <w:r w:rsidRPr="00AE5BE0">
                            <w:rPr>
                              <w:rFonts w:ascii="Verdana" w:hAnsi="Verdana" w:cs="Arial"/>
                              <w:color w:val="FFFFFF" w:themeColor="background1"/>
                              <w:sz w:val="32"/>
                              <w:szCs w:val="32"/>
                              <w:lang w:val="fr-CA"/>
                            </w:rPr>
                            <w:t>comparaison des rendements du marché boursier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AF9F924" id="_x0000_t202" coordsize="21600,21600" o:spt="202" path="m0,0l0,21600,21600,21600,21600,0xe">
              <v:stroke joinstyle="miter"/>
              <v:path gradientshapeok="t" o:connecttype="rect"/>
            </v:shapetype>
            <v:shape id="Text Box 22" o:spid="_x0000_s1030" type="#_x0000_t202" style="position:absolute;left:0;text-align:left;margin-left:0;margin-top:38pt;width:384.65pt;height:51.1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" filled="f" stroked="f">
              <v:textbox>
                <w:txbxContent>
                  <w:p w14:paraId="72B49235" w14:textId="0B06615C" w:rsidR="000C45ED" w:rsidRPr="00AE5BE0" w:rsidRDefault="00AE5BE0" w:rsidP="00AE5BE0">
                    <w:pPr>
                      <w:pStyle w:val="Header"/>
                      <w:rPr>
                        <w:rFonts w:ascii="Verdana" w:hAnsi="Verdana" w:cs="Arial"/>
                        <w:color w:val="FFFFFF" w:themeColor="background1"/>
                        <w:sz w:val="32"/>
                        <w:szCs w:val="32"/>
                        <w:lang w:val="en-CA"/>
                      </w:rPr>
                    </w:pPr>
                    <w:r w:rsidRPr="00AE5BE0">
                      <w:rPr>
                        <w:rFonts w:ascii="Verdana" w:hAnsi="Verdana" w:cs="Arial"/>
                        <w:color w:val="FFFFFF" w:themeColor="background1"/>
                        <w:sz w:val="32"/>
                        <w:szCs w:val="32"/>
                        <w:lang w:val="fr-CA"/>
                      </w:rPr>
                      <w:t>La folie des marchés boursiers :</w:t>
                    </w:r>
                    <w:r w:rsidRPr="00AE5BE0">
                      <w:rPr>
                        <w:rFonts w:ascii="Verdana" w:hAnsi="Verdana" w:cs="Arial"/>
                        <w:color w:val="FFFFFF" w:themeColor="background1"/>
                        <w:sz w:val="32"/>
                        <w:szCs w:val="32"/>
                      </w:rPr>
                      <w:t xml:space="preserve"> </w:t>
                    </w:r>
                    <w:r w:rsidRPr="00AE5BE0">
                      <w:rPr>
                        <w:rFonts w:ascii="Verdana" w:hAnsi="Verdana" w:cs="Arial"/>
                        <w:color w:val="FFFFFF" w:themeColor="background1"/>
                        <w:sz w:val="32"/>
                        <w:szCs w:val="32"/>
                        <w:lang w:val="fr-CA"/>
                      </w:rPr>
                      <w:t>comparaison des rendements du marché boursier</w:t>
                    </w:r>
                  </w:p>
                </w:txbxContent>
              </v:textbox>
              <w10:wrap anchory="page"/>
            </v:shape>
          </w:pict>
        </mc:Fallback>
      </mc:AlternateContent>
    </w:r>
    <w:r w:rsidRPr="00030CB4">
      <w:rPr>
        <w:rFonts w:ascii="Verdana" w:hAnsi="Verdana"/>
        <w:noProof/>
        <w:color w:val="FFFFFF" w:themeColor="background1"/>
        <w:sz w:val="58"/>
        <w:szCs w:val="58"/>
      </w:rPr>
      <w:t xml:space="preserve"> </w:t>
    </w:r>
    <w:r w:rsidRPr="00030CB4">
      <w:rPr>
        <w:rFonts w:ascii="Verdana" w:hAnsi="Verdana"/>
        <w:noProof/>
        <w:color w:val="FFFFFF" w:themeColor="background1"/>
        <w:sz w:val="58"/>
        <w:szCs w:val="58"/>
      </w:rPr>
      <w:drawing>
        <wp:anchor distT="0" distB="0" distL="114300" distR="114300" simplePos="0" relativeHeight="251676672" behindDoc="1" locked="0" layoutInCell="1" allowOverlap="1" wp14:anchorId="4AF65271" wp14:editId="66C59A3B">
          <wp:simplePos x="0" y="0"/>
          <wp:positionH relativeFrom="column">
            <wp:posOffset>0</wp:posOffset>
          </wp:positionH>
          <wp:positionV relativeFrom="page">
            <wp:posOffset>457200</wp:posOffset>
          </wp:positionV>
          <wp:extent cx="6858000" cy="690372"/>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ounded Box1.jpg"/>
                  <pic:cNvPicPr/>
                </pic:nvPicPr>
                <pic:blipFill>
                  <a:blip r:embed="rId1">
                    <a:extLst>
                      <a:ext uri="{28A0092B-C50C-407E-A947-70E740481C1C}">
                        <a14:useLocalDpi xmlns:a14="http://schemas.microsoft.com/office/drawing/2010/main" val="0"/>
                      </a:ext>
                    </a:extLst>
                  </a:blip>
                  <a:stretch>
                    <a:fillRect/>
                  </a:stretch>
                </pic:blipFill>
                <pic:spPr>
                  <a:xfrm>
                    <a:off x="0" y="0"/>
                    <a:ext cx="6858000" cy="690372"/>
                  </a:xfrm>
                  <a:prstGeom prst="rect">
                    <a:avLst/>
                  </a:prstGeom>
                </pic:spPr>
              </pic:pic>
            </a:graphicData>
          </a:graphic>
          <wp14:sizeRelH relativeFrom="margin">
            <wp14:pctWidth>0</wp14:pctWidth>
          </wp14:sizeRelH>
          <wp14:sizeRelV relativeFrom="margin">
            <wp14:pctHeight>0</wp14:pctHeight>
          </wp14:sizeRelV>
        </wp:anchor>
      </w:drawing>
    </w:r>
    <w:r>
      <w:rPr>
        <w:rFonts w:ascii="Verdana" w:hAnsi="Verdana"/>
        <w:noProof/>
        <w:color w:val="FFFFFF" w:themeColor="background1"/>
        <w:sz w:val="58"/>
        <w:szCs w:val="58"/>
      </w:rP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F29CD5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A8648E38"/>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18DA134A"/>
    <w:multiLevelType w:val="hybridMultilevel"/>
    <w:tmpl w:val="2084C1E2"/>
    <w:lvl w:ilvl="0" w:tplc="A54E478E">
      <w:start w:val="6"/>
      <w:numFmt w:val="bullet"/>
      <w:pStyle w:val="DashLis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222FD7"/>
    <w:multiLevelType w:val="hybridMultilevel"/>
    <w:tmpl w:val="FB1C17E8"/>
    <w:lvl w:ilvl="0" w:tplc="A1804C14">
      <w:start w:val="1"/>
      <w:numFmt w:val="lowerLetter"/>
      <w:pStyle w:val="Lettered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4A5950"/>
    <w:multiLevelType w:val="multilevel"/>
    <w:tmpl w:val="436843F6"/>
    <w:lvl w:ilvl="0">
      <w:start w:val="1"/>
      <w:numFmt w:val="decimal"/>
      <w:lvlText w:val="%1."/>
      <w:lvlJc w:val="left"/>
      <w:pPr>
        <w:ind w:left="720" w:hanging="360"/>
      </w:pPr>
      <w:rPr>
        <w:rFonts w:ascii="Verdana" w:eastAsia="Verdana" w:hAnsi="Verdana" w:cs="Verdan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nsid w:val="1F390855"/>
    <w:multiLevelType w:val="multilevel"/>
    <w:tmpl w:val="B31A5B5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6">
    <w:nsid w:val="25AD0E57"/>
    <w:multiLevelType w:val="hybridMultilevel"/>
    <w:tmpl w:val="8AAEC9EC"/>
    <w:lvl w:ilvl="0" w:tplc="00D2BF4A">
      <w:start w:val="1"/>
      <w:numFmt w:val="bullet"/>
      <w:pStyle w:val="CheckmarkLis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8D38B1"/>
    <w:multiLevelType w:val="multilevel"/>
    <w:tmpl w:val="53DC8B84"/>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8">
    <w:nsid w:val="3A4E762A"/>
    <w:multiLevelType w:val="multilevel"/>
    <w:tmpl w:val="04FEF9C8"/>
    <w:lvl w:ilvl="0">
      <w:start w:val="2"/>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421C5C4A"/>
    <w:multiLevelType w:val="hybridMultilevel"/>
    <w:tmpl w:val="E12294D0"/>
    <w:lvl w:ilvl="0" w:tplc="7A546272">
      <w:start w:val="1"/>
      <w:numFmt w:val="decimal"/>
      <w:pStyle w:val="NumberedList"/>
      <w:lvlText w:val="%1."/>
      <w:lvlJc w:val="left"/>
      <w:pPr>
        <w:ind w:left="45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EE20C52"/>
    <w:multiLevelType w:val="multilevel"/>
    <w:tmpl w:val="AFC0D8F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57D0093B"/>
    <w:multiLevelType w:val="multilevel"/>
    <w:tmpl w:val="B8D2D58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nsid w:val="6BBF581B"/>
    <w:multiLevelType w:val="hybridMultilevel"/>
    <w:tmpl w:val="D884C7A6"/>
    <w:lvl w:ilvl="0" w:tplc="255CBDFE">
      <w:numFmt w:val="bullet"/>
      <w:pStyle w:val="Bullet"/>
      <w:lvlText w:val="•"/>
      <w:lvlJc w:val="left"/>
      <w:pPr>
        <w:ind w:left="720" w:hanging="360"/>
      </w:pPr>
      <w:rPr>
        <w:rFonts w:ascii="Verdana" w:eastAsiaTheme="minorHAnsi" w:hAnsi="Verdana" w:cs="Arial" w:hint="default"/>
      </w:rPr>
    </w:lvl>
    <w:lvl w:ilvl="1" w:tplc="E1E24334">
      <w:start w:val="1"/>
      <w:numFmt w:val="bullet"/>
      <w:pStyle w:val="2ndBullet"/>
      <w:lvlText w:val="o"/>
      <w:lvlJc w:val="left"/>
      <w:pPr>
        <w:ind w:left="1440" w:hanging="360"/>
      </w:pPr>
      <w:rPr>
        <w:rFonts w:ascii="Courier New" w:hAnsi="Courier New" w:cs="Courier New" w:hint="default"/>
      </w:rPr>
    </w:lvl>
    <w:lvl w:ilvl="2" w:tplc="A0CEA952">
      <w:start w:val="1"/>
      <w:numFmt w:val="bullet"/>
      <w:pStyle w:val="3rd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
  </w:num>
  <w:num w:numId="4">
    <w:abstractNumId w:val="3"/>
  </w:num>
  <w:num w:numId="5">
    <w:abstractNumId w:val="6"/>
  </w:num>
  <w:num w:numId="6">
    <w:abstractNumId w:val="2"/>
  </w:num>
  <w:num w:numId="7">
    <w:abstractNumId w:val="9"/>
    <w:lvlOverride w:ilvl="0">
      <w:startOverride w:val="1"/>
    </w:lvlOverride>
  </w:num>
  <w:num w:numId="8">
    <w:abstractNumId w:val="9"/>
    <w:lvlOverride w:ilvl="0">
      <w:startOverride w:val="1"/>
    </w:lvlOverride>
  </w:num>
  <w:num w:numId="9">
    <w:abstractNumId w:val="7"/>
  </w:num>
  <w:num w:numId="10">
    <w:abstractNumId w:val="10"/>
  </w:num>
  <w:num w:numId="11">
    <w:abstractNumId w:val="5"/>
  </w:num>
  <w:num w:numId="12">
    <w:abstractNumId w:val="8"/>
  </w:num>
  <w:num w:numId="13">
    <w:abstractNumId w:val="9"/>
    <w:lvlOverride w:ilvl="0">
      <w:startOverride w:val="1"/>
    </w:lvlOverride>
  </w:num>
  <w:num w:numId="14">
    <w:abstractNumId w:val="11"/>
  </w:num>
  <w:num w:numId="15">
    <w:abstractNumId w:val="9"/>
    <w:lvlOverride w:ilvl="0">
      <w:startOverride w:val="1"/>
    </w:lvlOverride>
  </w:num>
  <w:num w:numId="16">
    <w:abstractNumId w:val="4"/>
  </w:num>
  <w:num w:numId="17">
    <w:abstractNumId w:val="0"/>
  </w:num>
  <w:num w:numId="18">
    <w:abstractNumId w:val="9"/>
    <w:lvlOverride w:ilvl="0">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4015"/>
    <w:rsid w:val="0001377B"/>
    <w:rsid w:val="000219F5"/>
    <w:rsid w:val="00022E67"/>
    <w:rsid w:val="00030CB4"/>
    <w:rsid w:val="00037CB3"/>
    <w:rsid w:val="00056336"/>
    <w:rsid w:val="00061AB9"/>
    <w:rsid w:val="000761FB"/>
    <w:rsid w:val="000838FC"/>
    <w:rsid w:val="00083DDB"/>
    <w:rsid w:val="000A44BB"/>
    <w:rsid w:val="000A5685"/>
    <w:rsid w:val="000B1F37"/>
    <w:rsid w:val="000B43E4"/>
    <w:rsid w:val="000C45ED"/>
    <w:rsid w:val="000C5055"/>
    <w:rsid w:val="000C72FA"/>
    <w:rsid w:val="000E39A9"/>
    <w:rsid w:val="000E4B52"/>
    <w:rsid w:val="000E566D"/>
    <w:rsid w:val="000E65AB"/>
    <w:rsid w:val="000F5619"/>
    <w:rsid w:val="00100D2B"/>
    <w:rsid w:val="00103C5A"/>
    <w:rsid w:val="00104B6E"/>
    <w:rsid w:val="00110B8E"/>
    <w:rsid w:val="00111BA9"/>
    <w:rsid w:val="00125F03"/>
    <w:rsid w:val="001266F9"/>
    <w:rsid w:val="0012702B"/>
    <w:rsid w:val="00153221"/>
    <w:rsid w:val="00165CE5"/>
    <w:rsid w:val="00166711"/>
    <w:rsid w:val="00166B2E"/>
    <w:rsid w:val="00167FF1"/>
    <w:rsid w:val="00176AA6"/>
    <w:rsid w:val="001840E2"/>
    <w:rsid w:val="001A3D8E"/>
    <w:rsid w:val="001B0659"/>
    <w:rsid w:val="001D6956"/>
    <w:rsid w:val="001E2BE7"/>
    <w:rsid w:val="001F0AE2"/>
    <w:rsid w:val="00210558"/>
    <w:rsid w:val="00212CB5"/>
    <w:rsid w:val="00215889"/>
    <w:rsid w:val="002407EE"/>
    <w:rsid w:val="00243AE8"/>
    <w:rsid w:val="0024470B"/>
    <w:rsid w:val="00250C66"/>
    <w:rsid w:val="002517FC"/>
    <w:rsid w:val="00253A1A"/>
    <w:rsid w:val="0026196F"/>
    <w:rsid w:val="00262357"/>
    <w:rsid w:val="0027157A"/>
    <w:rsid w:val="002762CB"/>
    <w:rsid w:val="00277B81"/>
    <w:rsid w:val="00284777"/>
    <w:rsid w:val="00295906"/>
    <w:rsid w:val="002A2EEB"/>
    <w:rsid w:val="002A3D8E"/>
    <w:rsid w:val="002B462D"/>
    <w:rsid w:val="002C154B"/>
    <w:rsid w:val="002C635A"/>
    <w:rsid w:val="002D0AF9"/>
    <w:rsid w:val="002D4BA5"/>
    <w:rsid w:val="002D6B46"/>
    <w:rsid w:val="002D710E"/>
    <w:rsid w:val="003043E3"/>
    <w:rsid w:val="0030440C"/>
    <w:rsid w:val="003075A7"/>
    <w:rsid w:val="0032344D"/>
    <w:rsid w:val="00334DA9"/>
    <w:rsid w:val="00354048"/>
    <w:rsid w:val="00376D39"/>
    <w:rsid w:val="00380F87"/>
    <w:rsid w:val="00387291"/>
    <w:rsid w:val="00397969"/>
    <w:rsid w:val="003C3AC4"/>
    <w:rsid w:val="003D47C1"/>
    <w:rsid w:val="003E0AF5"/>
    <w:rsid w:val="003F187B"/>
    <w:rsid w:val="003F690E"/>
    <w:rsid w:val="0042208D"/>
    <w:rsid w:val="0042447B"/>
    <w:rsid w:val="004331F9"/>
    <w:rsid w:val="004365A8"/>
    <w:rsid w:val="00437CE6"/>
    <w:rsid w:val="00454AF1"/>
    <w:rsid w:val="00461AAB"/>
    <w:rsid w:val="00462C04"/>
    <w:rsid w:val="00471E46"/>
    <w:rsid w:val="0047309F"/>
    <w:rsid w:val="004754CE"/>
    <w:rsid w:val="004824AF"/>
    <w:rsid w:val="0049541E"/>
    <w:rsid w:val="004B350C"/>
    <w:rsid w:val="004B53A7"/>
    <w:rsid w:val="004D11FF"/>
    <w:rsid w:val="004E2FEE"/>
    <w:rsid w:val="004E5E1F"/>
    <w:rsid w:val="00500A5A"/>
    <w:rsid w:val="00501BB3"/>
    <w:rsid w:val="00515079"/>
    <w:rsid w:val="005161C4"/>
    <w:rsid w:val="005304F9"/>
    <w:rsid w:val="00546293"/>
    <w:rsid w:val="00564081"/>
    <w:rsid w:val="00567EC5"/>
    <w:rsid w:val="00567ED8"/>
    <w:rsid w:val="0057088F"/>
    <w:rsid w:val="00577745"/>
    <w:rsid w:val="00585562"/>
    <w:rsid w:val="0059103B"/>
    <w:rsid w:val="005A2DB2"/>
    <w:rsid w:val="005C615E"/>
    <w:rsid w:val="005E2BF9"/>
    <w:rsid w:val="005F3389"/>
    <w:rsid w:val="00611A6A"/>
    <w:rsid w:val="00613FD9"/>
    <w:rsid w:val="0061435C"/>
    <w:rsid w:val="0062122B"/>
    <w:rsid w:val="00621F35"/>
    <w:rsid w:val="00626BB0"/>
    <w:rsid w:val="00634F20"/>
    <w:rsid w:val="00637C38"/>
    <w:rsid w:val="00647132"/>
    <w:rsid w:val="0067008A"/>
    <w:rsid w:val="0067462B"/>
    <w:rsid w:val="006801C5"/>
    <w:rsid w:val="006824D1"/>
    <w:rsid w:val="006918A7"/>
    <w:rsid w:val="00693081"/>
    <w:rsid w:val="006B058A"/>
    <w:rsid w:val="006C1A7B"/>
    <w:rsid w:val="006D09DC"/>
    <w:rsid w:val="006D4EF9"/>
    <w:rsid w:val="006E1A5E"/>
    <w:rsid w:val="006E2224"/>
    <w:rsid w:val="006E5E0B"/>
    <w:rsid w:val="006F2C07"/>
    <w:rsid w:val="00705B32"/>
    <w:rsid w:val="0071194A"/>
    <w:rsid w:val="007367B7"/>
    <w:rsid w:val="0077060A"/>
    <w:rsid w:val="0077560A"/>
    <w:rsid w:val="00775DE4"/>
    <w:rsid w:val="00781C16"/>
    <w:rsid w:val="00787836"/>
    <w:rsid w:val="007B54C8"/>
    <w:rsid w:val="00800B7C"/>
    <w:rsid w:val="008124E0"/>
    <w:rsid w:val="00812594"/>
    <w:rsid w:val="00821C6F"/>
    <w:rsid w:val="0083159C"/>
    <w:rsid w:val="0083699C"/>
    <w:rsid w:val="00837E0E"/>
    <w:rsid w:val="008417A2"/>
    <w:rsid w:val="00847E16"/>
    <w:rsid w:val="00850961"/>
    <w:rsid w:val="00850CF2"/>
    <w:rsid w:val="008515E3"/>
    <w:rsid w:val="008518BA"/>
    <w:rsid w:val="0085717B"/>
    <w:rsid w:val="00863846"/>
    <w:rsid w:val="00865EF7"/>
    <w:rsid w:val="00872DBF"/>
    <w:rsid w:val="00873418"/>
    <w:rsid w:val="00885426"/>
    <w:rsid w:val="008C3AF4"/>
    <w:rsid w:val="008D10E7"/>
    <w:rsid w:val="008D5FCF"/>
    <w:rsid w:val="008D67F2"/>
    <w:rsid w:val="008E7977"/>
    <w:rsid w:val="00906E2E"/>
    <w:rsid w:val="00912080"/>
    <w:rsid w:val="009120B8"/>
    <w:rsid w:val="00922C90"/>
    <w:rsid w:val="009336FB"/>
    <w:rsid w:val="00937653"/>
    <w:rsid w:val="00940D51"/>
    <w:rsid w:val="009435BD"/>
    <w:rsid w:val="00943A44"/>
    <w:rsid w:val="00955769"/>
    <w:rsid w:val="0097115C"/>
    <w:rsid w:val="00975571"/>
    <w:rsid w:val="00990E47"/>
    <w:rsid w:val="009A31A8"/>
    <w:rsid w:val="009A4CD3"/>
    <w:rsid w:val="009B6F3C"/>
    <w:rsid w:val="009D42FE"/>
    <w:rsid w:val="009D4564"/>
    <w:rsid w:val="009D5A1C"/>
    <w:rsid w:val="009D62B6"/>
    <w:rsid w:val="009E1989"/>
    <w:rsid w:val="009E6C5E"/>
    <w:rsid w:val="009F21B2"/>
    <w:rsid w:val="009F2541"/>
    <w:rsid w:val="00A00A43"/>
    <w:rsid w:val="00A06EC6"/>
    <w:rsid w:val="00A14B67"/>
    <w:rsid w:val="00A272D5"/>
    <w:rsid w:val="00A27B61"/>
    <w:rsid w:val="00A32345"/>
    <w:rsid w:val="00A6347B"/>
    <w:rsid w:val="00A6488D"/>
    <w:rsid w:val="00A71124"/>
    <w:rsid w:val="00A72354"/>
    <w:rsid w:val="00A95FCA"/>
    <w:rsid w:val="00AA2E73"/>
    <w:rsid w:val="00AA5549"/>
    <w:rsid w:val="00AB0CA0"/>
    <w:rsid w:val="00AB3B08"/>
    <w:rsid w:val="00AB540F"/>
    <w:rsid w:val="00AC6938"/>
    <w:rsid w:val="00AD18E7"/>
    <w:rsid w:val="00AD5765"/>
    <w:rsid w:val="00AE102D"/>
    <w:rsid w:val="00AE13D7"/>
    <w:rsid w:val="00AE2DB7"/>
    <w:rsid w:val="00AE5BE0"/>
    <w:rsid w:val="00B03A9E"/>
    <w:rsid w:val="00B07068"/>
    <w:rsid w:val="00B126AB"/>
    <w:rsid w:val="00B21A6A"/>
    <w:rsid w:val="00B269A5"/>
    <w:rsid w:val="00B36248"/>
    <w:rsid w:val="00B410C6"/>
    <w:rsid w:val="00B64BCB"/>
    <w:rsid w:val="00B848F7"/>
    <w:rsid w:val="00B92236"/>
    <w:rsid w:val="00BA1E29"/>
    <w:rsid w:val="00BA392D"/>
    <w:rsid w:val="00BC6D3C"/>
    <w:rsid w:val="00BC7202"/>
    <w:rsid w:val="00BE4276"/>
    <w:rsid w:val="00BF5468"/>
    <w:rsid w:val="00C24C34"/>
    <w:rsid w:val="00C2565E"/>
    <w:rsid w:val="00C45387"/>
    <w:rsid w:val="00C522B1"/>
    <w:rsid w:val="00C60A3E"/>
    <w:rsid w:val="00C62D0E"/>
    <w:rsid w:val="00C951F4"/>
    <w:rsid w:val="00C9685E"/>
    <w:rsid w:val="00CA0C50"/>
    <w:rsid w:val="00CA210F"/>
    <w:rsid w:val="00CD6BE3"/>
    <w:rsid w:val="00CD7D85"/>
    <w:rsid w:val="00CE1266"/>
    <w:rsid w:val="00CF0487"/>
    <w:rsid w:val="00D04015"/>
    <w:rsid w:val="00D05B6A"/>
    <w:rsid w:val="00D10AE0"/>
    <w:rsid w:val="00D10B25"/>
    <w:rsid w:val="00D278DA"/>
    <w:rsid w:val="00D34CCE"/>
    <w:rsid w:val="00D4489F"/>
    <w:rsid w:val="00D47F77"/>
    <w:rsid w:val="00D524CD"/>
    <w:rsid w:val="00D5394E"/>
    <w:rsid w:val="00D552CC"/>
    <w:rsid w:val="00D56FAB"/>
    <w:rsid w:val="00D61F05"/>
    <w:rsid w:val="00D708FD"/>
    <w:rsid w:val="00D72B9D"/>
    <w:rsid w:val="00D756EE"/>
    <w:rsid w:val="00D849CA"/>
    <w:rsid w:val="00D97C27"/>
    <w:rsid w:val="00DA07DD"/>
    <w:rsid w:val="00DA34DE"/>
    <w:rsid w:val="00DA62EB"/>
    <w:rsid w:val="00DB1CD2"/>
    <w:rsid w:val="00DB63AD"/>
    <w:rsid w:val="00DD0D46"/>
    <w:rsid w:val="00DD1911"/>
    <w:rsid w:val="00DE2047"/>
    <w:rsid w:val="00DE6082"/>
    <w:rsid w:val="00DE7C9C"/>
    <w:rsid w:val="00DF5010"/>
    <w:rsid w:val="00E20AB6"/>
    <w:rsid w:val="00E31F84"/>
    <w:rsid w:val="00E37112"/>
    <w:rsid w:val="00E409B7"/>
    <w:rsid w:val="00E43050"/>
    <w:rsid w:val="00E45129"/>
    <w:rsid w:val="00E623DC"/>
    <w:rsid w:val="00E751AA"/>
    <w:rsid w:val="00E80C32"/>
    <w:rsid w:val="00E82A55"/>
    <w:rsid w:val="00E8311D"/>
    <w:rsid w:val="00E910FA"/>
    <w:rsid w:val="00EA14EA"/>
    <w:rsid w:val="00EA5C76"/>
    <w:rsid w:val="00EB4605"/>
    <w:rsid w:val="00EC7DA3"/>
    <w:rsid w:val="00EC7F6E"/>
    <w:rsid w:val="00ED6622"/>
    <w:rsid w:val="00EE3D34"/>
    <w:rsid w:val="00EE706C"/>
    <w:rsid w:val="00F10C9F"/>
    <w:rsid w:val="00F22F22"/>
    <w:rsid w:val="00F35E1D"/>
    <w:rsid w:val="00F6163E"/>
    <w:rsid w:val="00F61662"/>
    <w:rsid w:val="00F75708"/>
    <w:rsid w:val="00F80B4F"/>
    <w:rsid w:val="00FA0464"/>
    <w:rsid w:val="00FA437F"/>
    <w:rsid w:val="00FC32B0"/>
    <w:rsid w:val="00FC67C8"/>
    <w:rsid w:val="00FC75BD"/>
    <w:rsid w:val="00FF2E85"/>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366B4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219F5"/>
    <w:pPr>
      <w:tabs>
        <w:tab w:val="center" w:pos="4680"/>
        <w:tab w:val="right" w:pos="9360"/>
      </w:tabs>
    </w:pPr>
  </w:style>
  <w:style w:type="character" w:customStyle="1" w:styleId="HeaderChar">
    <w:name w:val="Header Char"/>
    <w:basedOn w:val="DefaultParagraphFont"/>
    <w:link w:val="Header"/>
    <w:uiPriority w:val="99"/>
    <w:rsid w:val="000219F5"/>
  </w:style>
  <w:style w:type="paragraph" w:styleId="Footer">
    <w:name w:val="footer"/>
    <w:basedOn w:val="Normal"/>
    <w:link w:val="FooterChar"/>
    <w:uiPriority w:val="99"/>
    <w:unhideWhenUsed/>
    <w:rsid w:val="000219F5"/>
    <w:pPr>
      <w:tabs>
        <w:tab w:val="center" w:pos="4680"/>
        <w:tab w:val="right" w:pos="9360"/>
      </w:tabs>
    </w:pPr>
  </w:style>
  <w:style w:type="character" w:customStyle="1" w:styleId="FooterChar">
    <w:name w:val="Footer Char"/>
    <w:basedOn w:val="DefaultParagraphFont"/>
    <w:link w:val="Footer"/>
    <w:uiPriority w:val="99"/>
    <w:rsid w:val="000219F5"/>
  </w:style>
  <w:style w:type="table" w:styleId="TableGrid">
    <w:name w:val="Table Grid"/>
    <w:basedOn w:val="TableNormal"/>
    <w:uiPriority w:val="39"/>
    <w:rsid w:val="002C635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3F187B"/>
  </w:style>
  <w:style w:type="paragraph" w:styleId="ListParagraph">
    <w:name w:val="List Paragraph"/>
    <w:basedOn w:val="Normal"/>
    <w:uiPriority w:val="34"/>
    <w:qFormat/>
    <w:rsid w:val="0071194A"/>
    <w:pPr>
      <w:ind w:left="720"/>
      <w:contextualSpacing/>
    </w:pPr>
  </w:style>
  <w:style w:type="paragraph" w:customStyle="1" w:styleId="ChartHeading">
    <w:name w:val="Chart Heading"/>
    <w:basedOn w:val="Normal"/>
    <w:qFormat/>
    <w:rsid w:val="00AE2DB7"/>
    <w:rPr>
      <w:rFonts w:ascii="Verdana" w:hAnsi="Verdana"/>
      <w:b/>
      <w:color w:val="FFFFFF" w:themeColor="background1"/>
      <w:sz w:val="20"/>
      <w:szCs w:val="20"/>
    </w:rPr>
  </w:style>
  <w:style w:type="paragraph" w:customStyle="1" w:styleId="Copy">
    <w:name w:val="Copy"/>
    <w:basedOn w:val="Normal"/>
    <w:qFormat/>
    <w:rsid w:val="00E80C32"/>
    <w:pPr>
      <w:spacing w:after="80"/>
    </w:pPr>
    <w:rPr>
      <w:rFonts w:ascii="Verdana" w:hAnsi="Verdana" w:cs="Arial"/>
      <w:sz w:val="20"/>
      <w:szCs w:val="20"/>
      <w:lang w:val="en-CA"/>
    </w:rPr>
  </w:style>
  <w:style w:type="paragraph" w:customStyle="1" w:styleId="GreyHeading">
    <w:name w:val="Grey Heading"/>
    <w:basedOn w:val="Normal"/>
    <w:qFormat/>
    <w:rsid w:val="00F6163E"/>
    <w:pPr>
      <w:spacing w:after="120"/>
    </w:pPr>
    <w:rPr>
      <w:rFonts w:ascii="Verdana" w:hAnsi="Verdana" w:cs="Arial"/>
      <w:b/>
      <w:bCs/>
      <w:color w:val="595A59"/>
      <w:sz w:val="20"/>
      <w:szCs w:val="20"/>
      <w:lang w:val="en-CA"/>
    </w:rPr>
  </w:style>
  <w:style w:type="paragraph" w:customStyle="1" w:styleId="Subhead">
    <w:name w:val="Subhead"/>
    <w:basedOn w:val="Normal"/>
    <w:qFormat/>
    <w:rsid w:val="00F6163E"/>
    <w:pPr>
      <w:spacing w:after="80"/>
    </w:pPr>
    <w:rPr>
      <w:rFonts w:ascii="Verdana" w:hAnsi="Verdana" w:cs="Arial"/>
      <w:b/>
      <w:sz w:val="20"/>
      <w:szCs w:val="20"/>
      <w:lang w:val="en-CA"/>
    </w:rPr>
  </w:style>
  <w:style w:type="paragraph" w:customStyle="1" w:styleId="Bullet">
    <w:name w:val="Bullet"/>
    <w:basedOn w:val="Normal"/>
    <w:qFormat/>
    <w:rsid w:val="00E80C32"/>
    <w:pPr>
      <w:numPr>
        <w:numId w:val="1"/>
      </w:numPr>
      <w:spacing w:after="80"/>
      <w:ind w:left="144" w:hanging="144"/>
    </w:pPr>
    <w:rPr>
      <w:rFonts w:ascii="Verdana" w:hAnsi="Verdana" w:cs="Arial"/>
      <w:sz w:val="20"/>
      <w:szCs w:val="20"/>
      <w:lang w:val="en-CA"/>
    </w:rPr>
  </w:style>
  <w:style w:type="paragraph" w:customStyle="1" w:styleId="SectionHeading">
    <w:name w:val="Section Heading"/>
    <w:basedOn w:val="Normal"/>
    <w:qFormat/>
    <w:rsid w:val="00AE2DB7"/>
    <w:pPr>
      <w:ind w:left="1230"/>
    </w:pPr>
    <w:rPr>
      <w:rFonts w:ascii="Verdana" w:hAnsi="Verdana" w:cs="Arial"/>
      <w:b/>
      <w:color w:val="FFFFFF" w:themeColor="background1"/>
      <w:sz w:val="20"/>
      <w:szCs w:val="20"/>
    </w:rPr>
  </w:style>
  <w:style w:type="paragraph" w:customStyle="1" w:styleId="ClassHeading">
    <w:name w:val="Class Heading"/>
    <w:basedOn w:val="Normal"/>
    <w:qFormat/>
    <w:rsid w:val="008E7977"/>
    <w:pPr>
      <w:spacing w:after="80"/>
    </w:pPr>
    <w:rPr>
      <w:rFonts w:ascii="Verdana" w:hAnsi="Verdana" w:cs="Arial"/>
      <w:b/>
      <w:color w:val="3F708E"/>
      <w:sz w:val="20"/>
      <w:szCs w:val="20"/>
    </w:rPr>
  </w:style>
  <w:style w:type="paragraph" w:customStyle="1" w:styleId="IntroCopy">
    <w:name w:val="Intro Copy"/>
    <w:basedOn w:val="Copy"/>
    <w:qFormat/>
    <w:rsid w:val="00E80C32"/>
    <w:pPr>
      <w:spacing w:after="0"/>
    </w:pPr>
    <w:rPr>
      <w:rFonts w:eastAsia="Verdana" w:cs="Verdana"/>
      <w:color w:val="0A0A0D"/>
    </w:rPr>
  </w:style>
  <w:style w:type="paragraph" w:customStyle="1" w:styleId="GradeLevel">
    <w:name w:val="Grade Level"/>
    <w:basedOn w:val="Normal"/>
    <w:qFormat/>
    <w:rsid w:val="00872DBF"/>
    <w:pPr>
      <w:jc w:val="center"/>
    </w:pPr>
    <w:rPr>
      <w:rFonts w:ascii="Verdana" w:hAnsi="Verdana" w:cs="Arial"/>
      <w:b/>
      <w:color w:val="000000" w:themeColor="text1"/>
      <w:sz w:val="28"/>
      <w:szCs w:val="28"/>
    </w:rPr>
  </w:style>
  <w:style w:type="paragraph" w:customStyle="1" w:styleId="NumberedList">
    <w:name w:val="Numbered List"/>
    <w:basedOn w:val="Bullet"/>
    <w:qFormat/>
    <w:rsid w:val="00D5394E"/>
    <w:pPr>
      <w:numPr>
        <w:numId w:val="2"/>
      </w:numPr>
      <w:ind w:left="259" w:hanging="259"/>
    </w:pPr>
  </w:style>
  <w:style w:type="paragraph" w:customStyle="1" w:styleId="SpaceBetween">
    <w:name w:val="Space Between"/>
    <w:basedOn w:val="Normal"/>
    <w:qFormat/>
    <w:rsid w:val="00E80C32"/>
    <w:rPr>
      <w:rFonts w:ascii="Verdana" w:hAnsi="Verdana" w:cs="Arial"/>
      <w:sz w:val="14"/>
      <w:szCs w:val="14"/>
    </w:rPr>
  </w:style>
  <w:style w:type="paragraph" w:customStyle="1" w:styleId="CopyCentred">
    <w:name w:val="Copy Centred"/>
    <w:basedOn w:val="Copy"/>
    <w:qFormat/>
    <w:rsid w:val="00E80C32"/>
    <w:pPr>
      <w:jc w:val="center"/>
    </w:pPr>
  </w:style>
  <w:style w:type="paragraph" w:styleId="NormalWeb">
    <w:name w:val="Normal (Web)"/>
    <w:basedOn w:val="Normal"/>
    <w:uiPriority w:val="99"/>
    <w:unhideWhenUsed/>
    <w:rsid w:val="00E80C32"/>
    <w:pPr>
      <w:spacing w:before="100" w:beforeAutospacing="1" w:after="100" w:afterAutospacing="1"/>
    </w:pPr>
    <w:rPr>
      <w:rFonts w:ascii="Times" w:hAnsi="Times" w:cs="Times New Roman"/>
      <w:sz w:val="20"/>
      <w:szCs w:val="20"/>
      <w:lang w:val="en-CA"/>
    </w:rPr>
  </w:style>
  <w:style w:type="paragraph" w:customStyle="1" w:styleId="AppendixCopy">
    <w:name w:val="Appendix Copy"/>
    <w:basedOn w:val="Copy"/>
    <w:qFormat/>
    <w:rsid w:val="000E4B52"/>
    <w:rPr>
      <w:sz w:val="22"/>
    </w:rPr>
  </w:style>
  <w:style w:type="paragraph" w:customStyle="1" w:styleId="AppendixLine">
    <w:name w:val="Appendix Line"/>
    <w:basedOn w:val="Copy"/>
    <w:qFormat/>
    <w:rsid w:val="00781C16"/>
    <w:pPr>
      <w:spacing w:before="240"/>
    </w:pPr>
  </w:style>
  <w:style w:type="table" w:styleId="LightList-Accent5">
    <w:name w:val="Light List Accent 5"/>
    <w:basedOn w:val="TableNormal"/>
    <w:uiPriority w:val="61"/>
    <w:rsid w:val="008124E0"/>
    <w:tblPr>
      <w:tblStyleRowBandSize w:val="1"/>
      <w:tblStyleColBandSize w:val="1"/>
      <w:tblInd w:w="0" w:type="dxa"/>
      <w:tblBorders>
        <w:top w:val="single" w:sz="8" w:space="0" w:color="5B9BD5" w:themeColor="accent5"/>
        <w:left w:val="single" w:sz="8" w:space="0" w:color="5B9BD5" w:themeColor="accent5"/>
        <w:bottom w:val="single" w:sz="8" w:space="0" w:color="5B9BD5" w:themeColor="accent5"/>
        <w:right w:val="single" w:sz="8" w:space="0" w:color="5B9BD5"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paragraph" w:customStyle="1" w:styleId="AppendixName">
    <w:name w:val="Appendix Name"/>
    <w:basedOn w:val="Normal"/>
    <w:qFormat/>
    <w:rsid w:val="00873418"/>
    <w:rPr>
      <w:rFonts w:ascii="Verdana" w:hAnsi="Verdana"/>
      <w:color w:val="FFFFFF" w:themeColor="background1"/>
      <w:sz w:val="36"/>
      <w:szCs w:val="36"/>
      <w:lang w:val="en-CA"/>
    </w:rPr>
  </w:style>
  <w:style w:type="paragraph" w:customStyle="1" w:styleId="BlueChartHeading">
    <w:name w:val="Blue Chart Heading"/>
    <w:basedOn w:val="Normal"/>
    <w:qFormat/>
    <w:rsid w:val="00DA34DE"/>
    <w:pPr>
      <w:jc w:val="center"/>
    </w:pPr>
    <w:rPr>
      <w:rFonts w:ascii="Verdana" w:hAnsi="Verdana" w:cs="Times New Roman"/>
      <w:b/>
      <w:bCs/>
      <w:color w:val="FFFFFF" w:themeColor="background1"/>
      <w:sz w:val="20"/>
      <w:szCs w:val="20"/>
      <w:lang w:val="en-CA"/>
    </w:rPr>
  </w:style>
  <w:style w:type="table" w:customStyle="1" w:styleId="Appendix">
    <w:name w:val="Appendix"/>
    <w:basedOn w:val="TableNormal"/>
    <w:uiPriority w:val="99"/>
    <w:rsid w:val="00104B6E"/>
    <w:tblPr>
      <w:tblInd w:w="0" w:type="dxa"/>
      <w:tblCellMar>
        <w:top w:w="0" w:type="dxa"/>
        <w:left w:w="108" w:type="dxa"/>
        <w:bottom w:w="0" w:type="dxa"/>
        <w:right w:w="108" w:type="dxa"/>
      </w:tblCellMar>
    </w:tblPr>
  </w:style>
  <w:style w:type="paragraph" w:styleId="ListBullet">
    <w:name w:val="List Bullet"/>
    <w:basedOn w:val="Normal"/>
    <w:uiPriority w:val="99"/>
    <w:unhideWhenUsed/>
    <w:rsid w:val="005161C4"/>
    <w:pPr>
      <w:numPr>
        <w:numId w:val="3"/>
      </w:numPr>
      <w:contextualSpacing/>
    </w:pPr>
  </w:style>
  <w:style w:type="paragraph" w:customStyle="1" w:styleId="Heading">
    <w:name w:val="Heading"/>
    <w:basedOn w:val="Header"/>
    <w:qFormat/>
    <w:rsid w:val="00C522B1"/>
    <w:pPr>
      <w:ind w:left="259"/>
    </w:pPr>
    <w:rPr>
      <w:rFonts w:ascii="Verdana" w:hAnsi="Verdana"/>
      <w:color w:val="FFFFFF" w:themeColor="background1"/>
      <w:sz w:val="56"/>
      <w:szCs w:val="56"/>
      <w:lang w:val="en-CA"/>
    </w:rPr>
  </w:style>
  <w:style w:type="paragraph" w:customStyle="1" w:styleId="LetteredList">
    <w:name w:val="Lettered List"/>
    <w:basedOn w:val="Copy"/>
    <w:qFormat/>
    <w:rsid w:val="00D708FD"/>
    <w:pPr>
      <w:numPr>
        <w:numId w:val="4"/>
      </w:numPr>
      <w:ind w:left="360"/>
    </w:pPr>
    <w:rPr>
      <w:lang w:val="en-US"/>
    </w:rPr>
  </w:style>
  <w:style w:type="paragraph" w:customStyle="1" w:styleId="ChartCopy">
    <w:name w:val="Chart Copy"/>
    <w:basedOn w:val="Copy"/>
    <w:qFormat/>
    <w:rsid w:val="00D708FD"/>
    <w:pPr>
      <w:spacing w:after="0"/>
      <w:jc w:val="center"/>
    </w:pPr>
    <w:rPr>
      <w:rFonts w:eastAsia="Verdana" w:cs="Verdana"/>
    </w:rPr>
  </w:style>
  <w:style w:type="character" w:customStyle="1" w:styleId="normaltextrun">
    <w:name w:val="normaltextrun"/>
    <w:basedOn w:val="DefaultParagraphFont"/>
    <w:rsid w:val="002D4BA5"/>
  </w:style>
  <w:style w:type="character" w:styleId="Hyperlink">
    <w:name w:val="Hyperlink"/>
    <w:basedOn w:val="DefaultParagraphFont"/>
    <w:uiPriority w:val="99"/>
    <w:unhideWhenUsed/>
    <w:rsid w:val="0030440C"/>
    <w:rPr>
      <w:color w:val="0563C1" w:themeColor="hyperlink"/>
      <w:u w:val="single"/>
    </w:rPr>
  </w:style>
  <w:style w:type="paragraph" w:customStyle="1" w:styleId="2ndBullet">
    <w:name w:val="2nd Bullet"/>
    <w:basedOn w:val="Bullet"/>
    <w:qFormat/>
    <w:rsid w:val="0030440C"/>
    <w:pPr>
      <w:numPr>
        <w:ilvl w:val="1"/>
      </w:numPr>
      <w:ind w:left="360" w:hanging="216"/>
    </w:pPr>
  </w:style>
  <w:style w:type="paragraph" w:customStyle="1" w:styleId="BigHeader">
    <w:name w:val="Big Header"/>
    <w:basedOn w:val="GradeLevel"/>
    <w:qFormat/>
    <w:rsid w:val="00B64BCB"/>
    <w:pPr>
      <w:spacing w:after="100"/>
      <w:jc w:val="left"/>
    </w:pPr>
  </w:style>
  <w:style w:type="character" w:styleId="CommentReference">
    <w:name w:val="annotation reference"/>
    <w:basedOn w:val="DefaultParagraphFont"/>
    <w:uiPriority w:val="99"/>
    <w:semiHidden/>
    <w:unhideWhenUsed/>
    <w:rsid w:val="00847E16"/>
    <w:rPr>
      <w:sz w:val="16"/>
      <w:szCs w:val="16"/>
    </w:rPr>
  </w:style>
  <w:style w:type="paragraph" w:styleId="CommentText">
    <w:name w:val="annotation text"/>
    <w:basedOn w:val="Normal"/>
    <w:link w:val="CommentTextChar"/>
    <w:uiPriority w:val="99"/>
    <w:semiHidden/>
    <w:unhideWhenUsed/>
    <w:rsid w:val="00847E16"/>
  </w:style>
  <w:style w:type="character" w:customStyle="1" w:styleId="CommentTextChar">
    <w:name w:val="Comment Text Char"/>
    <w:basedOn w:val="DefaultParagraphFont"/>
    <w:link w:val="CommentText"/>
    <w:uiPriority w:val="99"/>
    <w:semiHidden/>
    <w:rsid w:val="00847E16"/>
  </w:style>
  <w:style w:type="paragraph" w:styleId="BalloonText">
    <w:name w:val="Balloon Text"/>
    <w:basedOn w:val="Normal"/>
    <w:link w:val="BalloonTextChar"/>
    <w:uiPriority w:val="99"/>
    <w:semiHidden/>
    <w:unhideWhenUsed/>
    <w:rsid w:val="00847E1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47E16"/>
    <w:rPr>
      <w:rFonts w:ascii="Times New Roman" w:hAnsi="Times New Roman" w:cs="Times New Roman"/>
      <w:sz w:val="18"/>
      <w:szCs w:val="18"/>
    </w:rPr>
  </w:style>
  <w:style w:type="character" w:styleId="FollowedHyperlink">
    <w:name w:val="FollowedHyperlink"/>
    <w:basedOn w:val="DefaultParagraphFont"/>
    <w:uiPriority w:val="99"/>
    <w:semiHidden/>
    <w:unhideWhenUsed/>
    <w:rsid w:val="00847E16"/>
    <w:rPr>
      <w:color w:val="954F72" w:themeColor="followedHyperlink"/>
      <w:u w:val="single"/>
    </w:rPr>
  </w:style>
  <w:style w:type="character" w:customStyle="1" w:styleId="A12">
    <w:name w:val="A12"/>
    <w:uiPriority w:val="99"/>
    <w:rsid w:val="00647132"/>
    <w:rPr>
      <w:rFonts w:cs="Gotham Light"/>
      <w:color w:val="000000"/>
      <w:sz w:val="16"/>
      <w:szCs w:val="16"/>
    </w:rPr>
  </w:style>
  <w:style w:type="paragraph" w:customStyle="1" w:styleId="Pa6">
    <w:name w:val="Pa6"/>
    <w:basedOn w:val="Normal"/>
    <w:next w:val="Normal"/>
    <w:uiPriority w:val="99"/>
    <w:rsid w:val="00647132"/>
    <w:pPr>
      <w:autoSpaceDE w:val="0"/>
      <w:autoSpaceDN w:val="0"/>
      <w:adjustRightInd w:val="0"/>
      <w:spacing w:line="201" w:lineRule="atLeast"/>
    </w:pPr>
    <w:rPr>
      <w:rFonts w:ascii="Gotham Medium" w:hAnsi="Gotham Medium"/>
    </w:rPr>
  </w:style>
  <w:style w:type="paragraph" w:customStyle="1" w:styleId="BlueChartHeadingLeft">
    <w:name w:val="Blue Chart Heading Left"/>
    <w:basedOn w:val="BlueChartHeading"/>
    <w:qFormat/>
    <w:rsid w:val="00CD6BE3"/>
    <w:pPr>
      <w:jc w:val="left"/>
    </w:pPr>
  </w:style>
  <w:style w:type="paragraph" w:customStyle="1" w:styleId="3rdBullet">
    <w:name w:val="3rd Bullet"/>
    <w:basedOn w:val="2ndBullet"/>
    <w:qFormat/>
    <w:rsid w:val="008E7977"/>
    <w:pPr>
      <w:numPr>
        <w:ilvl w:val="2"/>
      </w:numPr>
      <w:ind w:left="720"/>
    </w:pPr>
  </w:style>
  <w:style w:type="paragraph" w:customStyle="1" w:styleId="RubricHeading">
    <w:name w:val="Rubric Heading"/>
    <w:basedOn w:val="Subhead"/>
    <w:qFormat/>
    <w:rsid w:val="00397969"/>
    <w:pPr>
      <w:spacing w:after="0"/>
    </w:pPr>
  </w:style>
  <w:style w:type="paragraph" w:customStyle="1" w:styleId="CheckmarkList">
    <w:name w:val="Checkmark List"/>
    <w:basedOn w:val="Copy"/>
    <w:qFormat/>
    <w:rsid w:val="00AD18E7"/>
    <w:pPr>
      <w:numPr>
        <w:numId w:val="5"/>
      </w:numPr>
      <w:ind w:left="259" w:hanging="259"/>
    </w:pPr>
  </w:style>
  <w:style w:type="paragraph" w:customStyle="1" w:styleId="DashList">
    <w:name w:val="Dash List"/>
    <w:basedOn w:val="Copy"/>
    <w:qFormat/>
    <w:rsid w:val="00D56FAB"/>
    <w:pPr>
      <w:numPr>
        <w:numId w:val="6"/>
      </w:numPr>
      <w:ind w:left="216" w:hanging="216"/>
    </w:pPr>
  </w:style>
  <w:style w:type="paragraph" w:customStyle="1" w:styleId="SmallRubricCopy">
    <w:name w:val="Small Rubric Copy"/>
    <w:basedOn w:val="Copy"/>
    <w:qFormat/>
    <w:rsid w:val="009F21B2"/>
    <w:pPr>
      <w:spacing w:after="40"/>
    </w:pPr>
    <w:rPr>
      <w:sz w:val="18"/>
      <w:szCs w:val="18"/>
    </w:rPr>
  </w:style>
  <w:style w:type="paragraph" w:customStyle="1" w:styleId="paragraph">
    <w:name w:val="paragraph"/>
    <w:basedOn w:val="Normal"/>
    <w:rsid w:val="00B92236"/>
    <w:pPr>
      <w:spacing w:before="100" w:beforeAutospacing="1" w:after="100" w:afterAutospacing="1"/>
    </w:pPr>
    <w:rPr>
      <w:rFonts w:ascii="Times New Roman" w:eastAsia="Times New Roman" w:hAnsi="Times New Roman" w:cs="Times New Roman"/>
      <w:lang w:val="en-CA" w:eastAsia="en-CA"/>
    </w:rPr>
  </w:style>
  <w:style w:type="character" w:customStyle="1" w:styleId="eop">
    <w:name w:val="eop"/>
    <w:basedOn w:val="DefaultParagraphFont"/>
    <w:rsid w:val="00B922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95311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finance" TargetMode="External"/><Relationship Id="rId18" Type="http://schemas.openxmlformats.org/officeDocument/2006/relationships/image" Target="media/image4.png"/><Relationship Id="rId8" Type="http://schemas.openxmlformats.org/officeDocument/2006/relationships/header" Target="header1.xml"/><Relationship Id="rId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s://www.tmxmoney.com/en/index.html" TargetMode="External"/><Relationship Id="rId17" Type="http://schemas.openxmlformats.org/officeDocument/2006/relationships/header" Target="header2.xml"/><Relationship Id="rId7" Type="http://schemas.openxmlformats.org/officeDocument/2006/relationships/endnotes" Target="endnotes.xml"/><Relationship Id="rId25" Type="http://schemas.openxmlformats.org/officeDocument/2006/relationships/customXml" Target="../customXml/item4.xml"/><Relationship Id="rId20" Type="http://schemas.openxmlformats.org/officeDocument/2006/relationships/footer" Target="footer3.xml"/><Relationship Id="rId16" Type="http://schemas.openxmlformats.org/officeDocument/2006/relationships/hyperlink" Target="http://valuestockguide.com/tools-for-teaching-the-stock-market-game/" TargetMode="External"/><Relationship Id="rId2" Type="http://schemas.openxmlformats.org/officeDocument/2006/relationships/numbering" Target="numbering.xml"/><Relationship Id="rId11" Type="http://schemas.openxmlformats.org/officeDocument/2006/relationships/hyperlink" Target="https://www.ally.com/investing/stocks/stock-basics-an-investors-guide/" TargetMode="External"/><Relationship Id="rId1" Type="http://schemas.openxmlformats.org/officeDocument/2006/relationships/customXml" Target="../customXml/item1.xml"/><Relationship Id="rId6" Type="http://schemas.openxmlformats.org/officeDocument/2006/relationships/footnotes" Target="footnotes.xml"/><Relationship Id="rId24" Type="http://schemas.openxmlformats.org/officeDocument/2006/relationships/customXml" Target="../customXml/item3.xml"/><Relationship Id="rId15" Type="http://schemas.openxmlformats.org/officeDocument/2006/relationships/hyperlink" Target="http://www.marketwatch.com/game/" TargetMode="External"/><Relationship Id="rId5" Type="http://schemas.openxmlformats.org/officeDocument/2006/relationships/webSettings" Target="webSettings.xml"/><Relationship Id="rId23" Type="http://schemas.openxmlformats.org/officeDocument/2006/relationships/customXml" Target="../customXml/item2.xml"/><Relationship Id="rId10" Type="http://schemas.openxmlformats.org/officeDocument/2006/relationships/footer" Target="footer2.xml"/><Relationship Id="rId19" Type="http://schemas.openxmlformats.org/officeDocument/2006/relationships/header" Target="header3.xml"/><Relationship Id="rId9" Type="http://schemas.openxmlformats.org/officeDocument/2006/relationships/footer" Target="footer1.xml"/><Relationship Id="rId22" Type="http://schemas.openxmlformats.org/officeDocument/2006/relationships/theme" Target="theme/theme1.xml"/><Relationship Id="rId14" Type="http://schemas.openxmlformats.org/officeDocument/2006/relationships/hyperlink" Target="https://ca.finance.yahoo.com/" TargetMode="External"/><Relationship Id="rId4" Type="http://schemas.openxmlformats.org/officeDocument/2006/relationships/settings" Target="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_rels/header3.xml.rels><?xml version="1.0" encoding="UTF-8" standalone="yes"?>
<Relationships xmlns="http://schemas.openxmlformats.org/package/2006/relationships"><Relationship Id="rId1" Type="http://schemas.openxmlformats.org/officeDocument/2006/relationships/image" Target="media/image3.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apalmatier/Work/OTF/Lesson%20Plans%20To%20Do/OTF%20LP.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BDF168D49C88F043B6619B9C520225FD" ma:contentTypeVersion="4" ma:contentTypeDescription="Create a new document." ma:contentTypeScope="" ma:versionID="0a82d92680f3167600f15f7f4cefd539">
  <xsd:schema xmlns:xsd="http://www.w3.org/2001/XMLSchema" xmlns:xs="http://www.w3.org/2001/XMLSchema" xmlns:p="http://schemas.microsoft.com/office/2006/metadata/properties" xmlns:ns2="1e8bcf3f-2f0e-4a20-8cdc-dbcdc161aab5" xmlns:ns3="c70e0953-1d0d-4f29-b348-3c4bcabe7931" targetNamespace="http://schemas.microsoft.com/office/2006/metadata/properties" ma:root="true" ma:fieldsID="a1c824a6333bfb3336a2848f1e70911e" ns2:_="" ns3:_="">
    <xsd:import namespace="1e8bcf3f-2f0e-4a20-8cdc-dbcdc161aab5"/>
    <xsd:import namespace="c70e0953-1d0d-4f29-b348-3c4bcabe7931"/>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8bcf3f-2f0e-4a20-8cdc-dbcdc161aa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c70e0953-1d0d-4f29-b348-3c4bcabe7931"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6411498-8CEB-2A46-809A-8B535829B398}">
  <ds:schemaRefs>
    <ds:schemaRef ds:uri="http://schemas.openxmlformats.org/officeDocument/2006/bibliography"/>
  </ds:schemaRefs>
</ds:datastoreItem>
</file>

<file path=customXml/itemProps2.xml><?xml version="1.0" encoding="utf-8"?>
<ds:datastoreItem xmlns:ds="http://schemas.openxmlformats.org/officeDocument/2006/customXml" ds:itemID="{F943F4E3-DAA4-4D71-AFF6-222D372B2A77}"/>
</file>

<file path=customXml/itemProps3.xml><?xml version="1.0" encoding="utf-8"?>
<ds:datastoreItem xmlns:ds="http://schemas.openxmlformats.org/officeDocument/2006/customXml" ds:itemID="{94053562-CE2C-4333-9CEE-92C674865EE6}"/>
</file>

<file path=customXml/itemProps4.xml><?xml version="1.0" encoding="utf-8"?>
<ds:datastoreItem xmlns:ds="http://schemas.openxmlformats.org/officeDocument/2006/customXml" ds:itemID="{8AC91558-09B0-4FED-A390-68DD371131BA}"/>
</file>

<file path=docProps/app.xml><?xml version="1.0" encoding="utf-8"?>
<Properties xmlns="http://schemas.openxmlformats.org/officeDocument/2006/extended-properties" xmlns:vt="http://schemas.openxmlformats.org/officeDocument/2006/docPropsVTypes">
  <Template>OTF LP.dotx</Template>
  <TotalTime>0</TotalTime>
  <Pages>7</Pages>
  <Words>1473</Words>
  <Characters>8401</Characters>
  <Application>Microsoft Macintosh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9855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Palmatier</dc:creator>
  <cp:keywords/>
  <dc:description/>
  <cp:lastModifiedBy>Andrea Palmatier</cp:lastModifiedBy>
  <cp:revision>7</cp:revision>
  <cp:lastPrinted>2017-09-26T01:57:00Z</cp:lastPrinted>
  <dcterms:created xsi:type="dcterms:W3CDTF">2017-10-23T22:25:00Z</dcterms:created>
  <dcterms:modified xsi:type="dcterms:W3CDTF">2017-11-08T02:32:00Z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0x010100BDF168D49C88F043B6619B9C520225FD</vt:lpwstr>
  </property>
</Properties>
</file>