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B7C10" w14:paraId="78E1F1FA" w14:textId="77777777" w:rsidTr="00820183">
        <w:trPr>
          <w:trHeight w:val="441"/>
        </w:trPr>
        <w:tc>
          <w:tcPr>
            <w:tcW w:w="10790" w:type="dxa"/>
            <w:shd w:val="clear" w:color="auto" w:fill="54B948"/>
            <w:tcMar>
              <w:left w:w="259" w:type="dxa"/>
              <w:right w:w="115" w:type="dxa"/>
            </w:tcMar>
            <w:vAlign w:val="center"/>
          </w:tcPr>
          <w:p w14:paraId="5D614D5E" w14:textId="56942DC6" w:rsidR="00AB7C10" w:rsidRDefault="00AB7C10" w:rsidP="00AB7C10">
            <w:pPr>
              <w:pStyle w:val="ChartHeading"/>
              <w:rPr>
                <w:sz w:val="13"/>
                <w:szCs w:val="13"/>
              </w:rPr>
            </w:pPr>
            <w:r>
              <w:t>À propos de cette leçon</w:t>
            </w:r>
          </w:p>
        </w:tc>
      </w:tr>
      <w:tr w:rsidR="00AB7C10" w14:paraId="7EFBE78B" w14:textId="77777777" w:rsidTr="00AB7C10">
        <w:trPr>
          <w:trHeight w:val="1584"/>
        </w:trPr>
        <w:tc>
          <w:tcPr>
            <w:tcW w:w="10790" w:type="dxa"/>
            <w:shd w:val="clear" w:color="auto" w:fill="E6F5E4"/>
            <w:tcMar>
              <w:left w:w="259" w:type="dxa"/>
              <w:right w:w="259" w:type="dxa"/>
            </w:tcMar>
            <w:vAlign w:val="center"/>
          </w:tcPr>
          <w:p w14:paraId="0F0CF411" w14:textId="311BFFC9" w:rsidR="00AB7C10" w:rsidRPr="00AB7C10" w:rsidRDefault="00AB7C10" w:rsidP="00AB7C10">
            <w:pPr>
              <w:pStyle w:val="Copy"/>
              <w:rPr>
                <w:rFonts w:eastAsia="Times New Roman"/>
                <w:szCs w:val="25"/>
              </w:rPr>
            </w:pPr>
            <w:r>
              <w:t xml:space="preserve">On organise des festivals de rue dans plusieurs villes du Canada. Au cours de la présente leçon, les élèves auront la possibilité d’examiner comment les musiciens peuvent gagner de l’argent à l’aide de moyens non traditionnels. Cela permettra aux élèves de connaître des lieux de spectacle et des publics non traditionnels. </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AB7C10" w14:paraId="625608EB" w14:textId="77777777" w:rsidTr="00AB3B08">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1506CB63" w:rsidR="00AB7C10" w:rsidRPr="00030CB4" w:rsidRDefault="00AB7C10" w:rsidP="00156279">
            <w:pPr>
              <w:pStyle w:val="ChartHeading"/>
              <w:jc w:val="center"/>
              <w:rPr>
                <w:rFonts w:cs="Arial"/>
              </w:rPr>
            </w:pPr>
            <w: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0891673B" w:rsidR="00AB7C10" w:rsidRPr="00030CB4" w:rsidRDefault="00AB7C10" w:rsidP="00AB7C10">
            <w:pPr>
              <w:pStyle w:val="ChartHeading"/>
              <w:rPr>
                <w:rFonts w:cs="Arial"/>
              </w:rPr>
            </w:pPr>
            <w: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11A81254" w:rsidR="00AB7C10" w:rsidRPr="00030CB4" w:rsidRDefault="00AB7C10" w:rsidP="00AB7C10">
            <w:pPr>
              <w:pStyle w:val="ChartHeading"/>
              <w:rPr>
                <w:rFonts w:cs="Arial"/>
              </w:rPr>
            </w:pPr>
            <w: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13A6B264" w14:textId="77777777" w:rsidR="00AB7C10" w:rsidRPr="00991485" w:rsidRDefault="00AB7C10" w:rsidP="00156279">
            <w:pPr>
              <w:pStyle w:val="ChartHeading"/>
              <w:jc w:val="center"/>
              <w:rPr>
                <w:rFonts w:cs="Arial"/>
              </w:rPr>
            </w:pPr>
            <w:r>
              <w:t>Durée</w:t>
            </w:r>
          </w:p>
          <w:p w14:paraId="229FAA53" w14:textId="7D16535B" w:rsidR="00AB7C10" w:rsidRPr="00030CB4" w:rsidRDefault="00AB7C10" w:rsidP="00156279">
            <w:pPr>
              <w:pStyle w:val="ChartHeading"/>
              <w:jc w:val="center"/>
              <w:rPr>
                <w:rFonts w:cs="Arial"/>
              </w:rPr>
            </w:pPr>
            <w:r>
              <w:t>suggérée</w:t>
            </w:r>
          </w:p>
        </w:tc>
      </w:tr>
      <w:tr w:rsidR="00D04015" w14:paraId="66B3D174" w14:textId="77777777" w:rsidTr="002B508A">
        <w:trPr>
          <w:trHeight w:val="2356"/>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76215527" w14:textId="77777777" w:rsidR="006F4F3B" w:rsidRPr="006F4F3B" w:rsidRDefault="006F4F3B" w:rsidP="006F4F3B">
            <w:pPr>
              <w:pStyle w:val="GradeLevel"/>
              <w:rPr>
                <w:lang w:val="en-CA"/>
              </w:rPr>
            </w:pPr>
            <w:r w:rsidRPr="006F4F3B">
              <w:rPr>
                <w:lang w:val="en-CA"/>
              </w:rPr>
              <w:t>9</w:t>
            </w:r>
          </w:p>
          <w:p w14:paraId="19A10640" w14:textId="571031E9" w:rsidR="00D04015" w:rsidRPr="00030CB4" w:rsidRDefault="00D04015" w:rsidP="00881E91">
            <w:pPr>
              <w:pStyle w:val="GradeLevel"/>
              <w:jc w:val="left"/>
              <w:rPr>
                <w:sz w:val="18"/>
                <w:szCs w:val="18"/>
              </w:rPr>
            </w:pP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0326683D" w14:textId="77777777" w:rsidR="00AB7C10" w:rsidRPr="00AB7C10" w:rsidRDefault="00AB7C10" w:rsidP="00AB7C10">
            <w:pPr>
              <w:pStyle w:val="Copy"/>
              <w:rPr>
                <w:lang w:bidi="fr-CA"/>
              </w:rPr>
            </w:pPr>
            <w:r w:rsidRPr="00AB7C10">
              <w:rPr>
                <w:lang w:bidi="fr-CA"/>
              </w:rPr>
              <w:t>AMU1O – Musique</w:t>
            </w:r>
          </w:p>
          <w:p w14:paraId="517987C9" w14:textId="737993A5" w:rsidR="00D04015" w:rsidRPr="006F4F3B" w:rsidRDefault="00AB7C10" w:rsidP="00AB7C10">
            <w:pPr>
              <w:pStyle w:val="Copy"/>
            </w:pPr>
            <w:r w:rsidRPr="00AB7C10">
              <w:rPr>
                <w:lang w:bidi="fr-CA"/>
              </w:rPr>
              <w:t>(cette leçon peut être adaptée à d’autres domaines artistiques)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205915A4" w14:textId="77777777" w:rsidR="00AB7C10" w:rsidRPr="00AB7C10" w:rsidRDefault="00AB7C10" w:rsidP="00AB7C10">
            <w:pPr>
              <w:pStyle w:val="Copy"/>
              <w:rPr>
                <w:lang w:bidi="fr-CA"/>
              </w:rPr>
            </w:pPr>
            <w:r w:rsidRPr="00AB7C10">
              <w:rPr>
                <w:lang w:bidi="fr-CA"/>
              </w:rPr>
              <w:t>À la fin de cette leçon, les élèves pourront :</w:t>
            </w:r>
          </w:p>
          <w:p w14:paraId="149FF000" w14:textId="49DC81DB" w:rsidR="00AB7C10" w:rsidRPr="00AB7C10" w:rsidRDefault="00AB7C10" w:rsidP="00AB7C10">
            <w:pPr>
              <w:pStyle w:val="Bullet"/>
              <w:rPr>
                <w:lang w:bidi="fr-CA"/>
              </w:rPr>
            </w:pPr>
            <w:r w:rsidRPr="00AB7C10">
              <w:rPr>
                <w:lang w:bidi="fr-CA"/>
              </w:rPr>
              <w:t>décrire des moyens traditionnels et non traditionnels de gagner un revenu;</w:t>
            </w:r>
          </w:p>
          <w:p w14:paraId="1C9BCDB8" w14:textId="2B6E8C4C" w:rsidR="00D04015" w:rsidRPr="00030CB4" w:rsidRDefault="00AB7C10" w:rsidP="00AB7C10">
            <w:pPr>
              <w:pStyle w:val="Bullet"/>
            </w:pPr>
            <w:r w:rsidRPr="00AB7C10">
              <w:rPr>
                <w:lang w:bidi="fr-CA"/>
              </w:rPr>
              <w:t>réfléchir à la responsabilité des particuliers et des organisations d’agir de manière conforme à l’éthique et responsable sur le plan social.</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5EEF073F" w:rsidR="00D04015" w:rsidRPr="00030CB4" w:rsidRDefault="00AB7C10" w:rsidP="00D04015">
            <w:pPr>
              <w:pStyle w:val="CopyCentred"/>
            </w:pPr>
            <w:r w:rsidRPr="00AB7C10">
              <w:rPr>
                <w:lang w:val="en-US" w:bidi="fr-CA"/>
              </w:rPr>
              <w:t>Une période</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B7C10" w14:paraId="632E430D" w14:textId="77777777" w:rsidTr="00FC75BD">
        <w:trPr>
          <w:trHeight w:val="441"/>
        </w:trPr>
        <w:tc>
          <w:tcPr>
            <w:tcW w:w="10800" w:type="dxa"/>
            <w:shd w:val="clear" w:color="auto" w:fill="54B948"/>
            <w:tcMar>
              <w:left w:w="259" w:type="dxa"/>
              <w:right w:w="115" w:type="dxa"/>
            </w:tcMar>
            <w:vAlign w:val="center"/>
          </w:tcPr>
          <w:p w14:paraId="48E70EC4" w14:textId="0B924303" w:rsidR="00AB7C10" w:rsidRDefault="00AB7C10" w:rsidP="00AB7C10">
            <w:pPr>
              <w:pStyle w:val="ChartHeading"/>
              <w:rPr>
                <w:sz w:val="13"/>
                <w:szCs w:val="13"/>
              </w:rPr>
            </w:pPr>
            <w:r>
              <w:t>Liens avec le curriculum</w:t>
            </w:r>
          </w:p>
        </w:tc>
      </w:tr>
      <w:tr w:rsidR="00376D39" w14:paraId="028915D4" w14:textId="77777777" w:rsidTr="002B508A">
        <w:trPr>
          <w:trHeight w:val="20"/>
        </w:trPr>
        <w:tc>
          <w:tcPr>
            <w:tcW w:w="10800" w:type="dxa"/>
            <w:shd w:val="clear" w:color="auto" w:fill="auto"/>
            <w:tcMar>
              <w:top w:w="173" w:type="dxa"/>
              <w:left w:w="259" w:type="dxa"/>
              <w:bottom w:w="173" w:type="dxa"/>
              <w:right w:w="115" w:type="dxa"/>
            </w:tcMar>
          </w:tcPr>
          <w:p w14:paraId="5CFACD61" w14:textId="109B0F2C" w:rsidR="00AB7C10" w:rsidRPr="00FA154F" w:rsidRDefault="003C2040" w:rsidP="00AB7C10">
            <w:pPr>
              <w:pStyle w:val="GreyHeading"/>
              <w:rPr>
                <w:lang w:bidi="fr-CA"/>
              </w:rPr>
            </w:pPr>
            <w:hyperlink r:id="rId8">
              <w:r w:rsidR="00AB7C10" w:rsidRPr="00AB7C10">
                <w:rPr>
                  <w:rStyle w:val="Hyperlink"/>
                  <w:lang w:bidi="fr-CA"/>
                </w:rPr>
                <w:t>Éducation artistique, 9</w:t>
              </w:r>
              <w:r w:rsidR="00AB7C10" w:rsidRPr="00FA154F">
                <w:rPr>
                  <w:rStyle w:val="Hyperlink"/>
                  <w:vertAlign w:val="superscript"/>
                  <w:lang w:bidi="fr-CA"/>
                </w:rPr>
                <w:t>e</w:t>
              </w:r>
              <w:r w:rsidR="00AB7C10" w:rsidRPr="00AB7C10">
                <w:rPr>
                  <w:rStyle w:val="Hyperlink"/>
                  <w:lang w:bidi="fr-CA"/>
                </w:rPr>
                <w:t xml:space="preserve"> et 10</w:t>
              </w:r>
              <w:r w:rsidR="00AB7C10" w:rsidRPr="00FA154F">
                <w:rPr>
                  <w:rStyle w:val="Hyperlink"/>
                  <w:vertAlign w:val="superscript"/>
                  <w:lang w:bidi="fr-CA"/>
                </w:rPr>
                <w:t>e</w:t>
              </w:r>
              <w:r w:rsidR="00AB7C10" w:rsidRPr="00AB7C10">
                <w:rPr>
                  <w:rStyle w:val="Hyperlink"/>
                  <w:lang w:bidi="fr-CA"/>
                </w:rPr>
                <w:t xml:space="preserve"> année (2010)</w:t>
              </w:r>
            </w:hyperlink>
          </w:p>
          <w:p w14:paraId="22157BA5" w14:textId="62C18D90" w:rsidR="00AB7C10" w:rsidRPr="00AB7C10" w:rsidRDefault="00AB7C10" w:rsidP="00AB7C10">
            <w:pPr>
              <w:pStyle w:val="GreyHeading"/>
              <w:rPr>
                <w:lang w:bidi="fr-CA"/>
              </w:rPr>
            </w:pPr>
            <w:r w:rsidRPr="00AB7C10">
              <w:rPr>
                <w:lang w:bidi="fr-CA"/>
              </w:rPr>
              <w:t>Musique (AMU10)</w:t>
            </w:r>
          </w:p>
          <w:tbl>
            <w:tblPr>
              <w:tblW w:w="0" w:type="auto"/>
              <w:tblBorders>
                <w:top w:val="nil"/>
                <w:left w:val="nil"/>
                <w:bottom w:val="nil"/>
                <w:right w:val="nil"/>
              </w:tblBorders>
              <w:tblLook w:val="0000" w:firstRow="0" w:lastRow="0" w:firstColumn="0" w:lastColumn="0" w:noHBand="0" w:noVBand="0"/>
            </w:tblPr>
            <w:tblGrid>
              <w:gridCol w:w="10426"/>
            </w:tblGrid>
            <w:tr w:rsidR="00AB7C10" w:rsidRPr="00AB7C10" w14:paraId="500C27B0" w14:textId="77777777" w:rsidTr="00DF4441">
              <w:trPr>
                <w:trHeight w:val="1523"/>
              </w:trPr>
              <w:tc>
                <w:tcPr>
                  <w:tcW w:w="0" w:type="auto"/>
                </w:tcPr>
                <w:p w14:paraId="2D353F7C" w14:textId="77777777" w:rsidR="00AB7C10" w:rsidRPr="00AB7C10" w:rsidRDefault="00AB7C10" w:rsidP="00AB7C10">
                  <w:pPr>
                    <w:pStyle w:val="Subhead"/>
                    <w:rPr>
                      <w:lang w:val="fr-CA"/>
                    </w:rPr>
                  </w:pPr>
                  <w:r w:rsidRPr="00AB7C10">
                    <w:rPr>
                      <w:lang w:bidi="fr-CA"/>
                    </w:rPr>
                    <w:t>Attentes — Analyse et objectivation</w:t>
                  </w:r>
                  <w:r w:rsidRPr="00AB7C10">
                    <w:rPr>
                      <w:lang w:val="fr-CA"/>
                    </w:rPr>
                    <w:t xml:space="preserve"> </w:t>
                  </w:r>
                </w:p>
                <w:p w14:paraId="6ED14A04" w14:textId="5975B7AF" w:rsidR="00AB7C10" w:rsidRPr="00AB7C10" w:rsidRDefault="00AB7C10" w:rsidP="00AB7C10">
                  <w:pPr>
                    <w:pStyle w:val="Bullet"/>
                    <w:rPr>
                      <w:lang w:bidi="fr-CA"/>
                    </w:rPr>
                  </w:pPr>
                  <w:r w:rsidRPr="00AB7C10">
                    <w:rPr>
                      <w:lang w:bidi="fr-CA"/>
                    </w:rPr>
                    <w:t xml:space="preserve">Appliquer, surtout à l’oral, le processus d’analyse critique à son travail d’interprétation, d’improvisation, de composition et d’écoute, en insistant sur les étapes de la réaction initiale et de la description. </w:t>
                  </w:r>
                </w:p>
                <w:p w14:paraId="6E1170B7" w14:textId="33A198F5" w:rsidR="00AB7C10" w:rsidRPr="00AB7C10" w:rsidRDefault="00AB7C10" w:rsidP="00AB7C10">
                  <w:pPr>
                    <w:pStyle w:val="Bullet"/>
                    <w:rPr>
                      <w:lang w:bidi="fr-CA"/>
                    </w:rPr>
                  </w:pPr>
                  <w:r w:rsidRPr="00AB7C10">
                    <w:rPr>
                      <w:lang w:bidi="fr-CA"/>
                    </w:rPr>
                    <w:t xml:space="preserve">Établir, à partir du continuum historique étudié et de son travail en musique, le rapport entre la fonction de l’art et ses conséquences sociales, personnelles ou culturelles, en considérant l’artiste comme agent de changement. </w:t>
                  </w:r>
                </w:p>
                <w:p w14:paraId="270CDDB1" w14:textId="77777777" w:rsidR="00AB7C10" w:rsidRPr="00AB7C10" w:rsidRDefault="00AB7C10" w:rsidP="00AB7C10">
                  <w:pPr>
                    <w:pStyle w:val="SpaceBetween"/>
                    <w:rPr>
                      <w:lang w:val="fr-CA"/>
                    </w:rPr>
                  </w:pPr>
                </w:p>
                <w:p w14:paraId="666B879D" w14:textId="2C2E7BBB" w:rsidR="00AB7C10" w:rsidRPr="00AB7C10" w:rsidRDefault="00AB7C10" w:rsidP="00AB7C10">
                  <w:pPr>
                    <w:pStyle w:val="Bullet"/>
                    <w:rPr>
                      <w:lang w:val="fr-CA"/>
                    </w:rPr>
                  </w:pPr>
                  <w:r w:rsidRPr="00AB7C10">
                    <w:rPr>
                      <w:b/>
                      <w:lang w:bidi="fr-CA"/>
                    </w:rPr>
                    <w:t xml:space="preserve">Contenu d’apprentissage — Fonction de l’art </w:t>
                  </w:r>
                </w:p>
                <w:p w14:paraId="2E1E00A9" w14:textId="463E8B45" w:rsidR="00AB7C10" w:rsidRPr="00AB7C10" w:rsidRDefault="00AB7C10" w:rsidP="00AB7C10">
                  <w:pPr>
                    <w:pStyle w:val="Bullet"/>
                    <w:rPr>
                      <w:lang w:val="fr-CA"/>
                    </w:rPr>
                  </w:pPr>
                  <w:r w:rsidRPr="00AB7C10">
                    <w:rPr>
                      <w:lang w:bidi="fr-CA"/>
                    </w:rPr>
                    <w:t>Préciser le rôle de la musique comme miroir d’enjeux sociaux et le rôle de l’artiste comme agent de changement</w:t>
                  </w:r>
                  <w:r w:rsidRPr="00AB7C10">
                    <w:rPr>
                      <w:lang w:val="fr-CA"/>
                    </w:rPr>
                    <w:t xml:space="preserve">. </w:t>
                  </w:r>
                </w:p>
              </w:tc>
            </w:tr>
          </w:tbl>
          <w:p w14:paraId="7790A14E" w14:textId="26C13429" w:rsidR="00376D39" w:rsidRPr="00AE2DB7" w:rsidRDefault="00376D39" w:rsidP="00AB7C10">
            <w:pPr>
              <w:pStyle w:val="Copy"/>
            </w:pPr>
          </w:p>
        </w:tc>
      </w:tr>
    </w:tbl>
    <w:p w14:paraId="701495A3" w14:textId="77777777" w:rsidR="00E80C32" w:rsidRPr="002D0AF9" w:rsidRDefault="00872DBF" w:rsidP="00577745">
      <w:pPr>
        <w:sectPr w:rsidR="00E80C32" w:rsidRPr="002D0AF9" w:rsidSect="00F61662">
          <w:headerReference w:type="default" r:id="rId9"/>
          <w:footerReference w:type="even" r:id="rId10"/>
          <w:footerReference w:type="default" r:id="rId11"/>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4F3B" w14:paraId="47EA7A43" w14:textId="77777777" w:rsidTr="00547017">
        <w:trPr>
          <w:trHeight w:val="441"/>
        </w:trPr>
        <w:tc>
          <w:tcPr>
            <w:tcW w:w="10800" w:type="dxa"/>
            <w:shd w:val="clear" w:color="auto" w:fill="54B948"/>
            <w:tcMar>
              <w:left w:w="259" w:type="dxa"/>
              <w:right w:w="115" w:type="dxa"/>
            </w:tcMar>
            <w:vAlign w:val="center"/>
          </w:tcPr>
          <w:p w14:paraId="1510FDEF" w14:textId="7AFF5953" w:rsidR="006F4F3B" w:rsidRDefault="00FE2517" w:rsidP="00547017">
            <w:pPr>
              <w:pStyle w:val="ChartHeading"/>
              <w:rPr>
                <w:sz w:val="13"/>
                <w:szCs w:val="13"/>
              </w:rPr>
            </w:pPr>
            <w:r w:rsidRPr="00FE2517">
              <w:rPr>
                <w:lang w:bidi="fr-CA"/>
              </w:rPr>
              <w:lastRenderedPageBreak/>
              <w:t>Question d’enquête</w:t>
            </w:r>
          </w:p>
        </w:tc>
      </w:tr>
      <w:tr w:rsidR="004C09CE" w14:paraId="729EC66A" w14:textId="77777777" w:rsidTr="000A0069">
        <w:trPr>
          <w:trHeight w:val="144"/>
        </w:trPr>
        <w:tc>
          <w:tcPr>
            <w:tcW w:w="10800" w:type="dxa"/>
            <w:shd w:val="clear" w:color="auto" w:fill="auto"/>
            <w:tcMar>
              <w:top w:w="173" w:type="dxa"/>
              <w:left w:w="259" w:type="dxa"/>
              <w:bottom w:w="173" w:type="dxa"/>
              <w:right w:w="115" w:type="dxa"/>
            </w:tcMar>
          </w:tcPr>
          <w:p w14:paraId="09613E46" w14:textId="7F77EDC2" w:rsidR="004C09CE" w:rsidRPr="00380F87" w:rsidRDefault="00FE2517" w:rsidP="004C09CE">
            <w:pPr>
              <w:pStyle w:val="Copy"/>
              <w:rPr>
                <w:color w:val="FFFFFF" w:themeColor="background1"/>
              </w:rPr>
            </w:pPr>
            <w:r w:rsidRPr="00FE2517">
              <w:rPr>
                <w:lang w:bidi="fr-CA"/>
              </w:rPr>
              <w:t>Quel rôle joue la musique dans notre société, en particulier en ce qui concerne les musiciens de rue utilisant des instruments non traditionnels?</w:t>
            </w:r>
          </w:p>
        </w:tc>
      </w:tr>
    </w:tbl>
    <w:p w14:paraId="17993C9C" w14:textId="77777777" w:rsidR="006F4F3B" w:rsidRPr="00872DBF" w:rsidRDefault="006F4F3B" w:rsidP="002D0AF9">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0AF9" w14:paraId="6E8D8284"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41582B9A" w14:textId="3AA14A73" w:rsidR="002D0AF9" w:rsidRDefault="00FE2517" w:rsidP="00547017">
            <w:pPr>
              <w:pStyle w:val="ChartHeading"/>
              <w:rPr>
                <w:sz w:val="13"/>
                <w:szCs w:val="13"/>
              </w:rPr>
            </w:pPr>
            <w:r w:rsidRPr="00FE2517">
              <w:rPr>
                <w:lang w:bidi="fr-CA"/>
              </w:rPr>
              <w:t>Matériel</w:t>
            </w:r>
          </w:p>
        </w:tc>
      </w:tr>
      <w:tr w:rsidR="002D0AF9" w14:paraId="0D5C4623" w14:textId="77777777" w:rsidTr="00547017">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6C3B0B16" w14:textId="77777777" w:rsidR="00FE2517" w:rsidRPr="00FE2517" w:rsidRDefault="00FE2517" w:rsidP="00FE2517">
            <w:pPr>
              <w:pStyle w:val="Bullet"/>
              <w:rPr>
                <w:lang w:bidi="fr-CA"/>
              </w:rPr>
            </w:pPr>
            <w:r w:rsidRPr="00FE2517">
              <w:rPr>
                <w:lang w:bidi="fr-CA"/>
              </w:rPr>
              <w:t xml:space="preserve">Exemplaires pour les élèves du tableau de comparaison des lieux où peuvent se tenir les spectacles de rue (annexe A) </w:t>
            </w:r>
          </w:p>
          <w:p w14:paraId="30252BF3" w14:textId="27038683" w:rsidR="00FE2517" w:rsidRPr="00FE2517" w:rsidRDefault="00FE2517" w:rsidP="00FE2517">
            <w:pPr>
              <w:pStyle w:val="Bullet"/>
              <w:rPr>
                <w:lang w:bidi="fr-CA"/>
              </w:rPr>
            </w:pPr>
            <w:r w:rsidRPr="00FE2517">
              <w:rPr>
                <w:lang w:bidi="fr-CA"/>
              </w:rPr>
              <w:t xml:space="preserve">Permission du directeur pour la tenue d’un spectacle dans un lieu achalandé de l’école à un moment précis de la journée </w:t>
            </w:r>
          </w:p>
          <w:p w14:paraId="1D13E4EB" w14:textId="02A5A04E" w:rsidR="00FE2517" w:rsidRPr="00FE2517" w:rsidRDefault="00FE2517" w:rsidP="00FE2517">
            <w:pPr>
              <w:pStyle w:val="Bullet"/>
              <w:rPr>
                <w:lang w:bidi="fr-CA"/>
              </w:rPr>
            </w:pPr>
            <w:r w:rsidRPr="00FE2517">
              <w:rPr>
                <w:lang w:bidi="fr-CA"/>
              </w:rPr>
              <w:t xml:space="preserve">Vidéo ou photos de musiciens de rue </w:t>
            </w:r>
          </w:p>
          <w:p w14:paraId="1F41C478" w14:textId="2301444A" w:rsidR="00FE2517" w:rsidRPr="00FE2517" w:rsidRDefault="00FE2517" w:rsidP="00FE2517">
            <w:pPr>
              <w:pStyle w:val="Bullet"/>
              <w:rPr>
                <w:lang w:bidi="fr-CA"/>
              </w:rPr>
            </w:pPr>
            <w:r w:rsidRPr="00FE2517">
              <w:rPr>
                <w:lang w:bidi="fr-CA"/>
              </w:rPr>
              <w:t>Exemplaires pour les élèves d’un plan de l’école</w:t>
            </w:r>
          </w:p>
          <w:p w14:paraId="46C4F79E" w14:textId="531335BC" w:rsidR="002D0AF9" w:rsidRPr="00AE2DB7" w:rsidRDefault="00FE2517" w:rsidP="00FE2517">
            <w:pPr>
              <w:pStyle w:val="Bullet"/>
            </w:pPr>
            <w:r w:rsidRPr="00FE2517">
              <w:rPr>
                <w:lang w:bidi="fr-CA"/>
              </w:rPr>
              <w:t>Permis de musicien de rue (annexe B)</w:t>
            </w:r>
          </w:p>
        </w:tc>
      </w:tr>
    </w:tbl>
    <w:p w14:paraId="27FB691C" w14:textId="77777777" w:rsidR="002D0AF9" w:rsidRDefault="002D0AF9"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FE2517" w:rsidRPr="00FC75BD" w14:paraId="758F183B" w14:textId="77777777" w:rsidTr="00FE2517">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4B1E714" w14:textId="77777777" w:rsidR="00FE2517" w:rsidRPr="00FC75BD" w:rsidRDefault="00FE2517" w:rsidP="00156279">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C817956" w14:textId="57FAA8AE" w:rsidR="00FE2517" w:rsidRPr="00FC75BD" w:rsidRDefault="00FE2517"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3AFA1117" w:rsidR="00FE2517" w:rsidRPr="00FC75BD" w:rsidRDefault="00FE2517"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77E15CAF" w:rsidR="00FE2517" w:rsidRPr="00FC75BD" w:rsidRDefault="00FE2517" w:rsidP="0054701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PMingLiU" w:eastAsia="PMingLiU" w:hAnsi="PMingLiU" w:cs="PMingLiU"/>
                <w:b/>
                <w:color w:val="FFFFFF" w:themeColor="background1"/>
                <w:sz w:val="20"/>
              </w:rPr>
              <w:br/>
            </w:r>
            <w:r>
              <w:rPr>
                <w:rFonts w:ascii="Verdana" w:hAnsi="Verdana"/>
                <w:b/>
                <w:color w:val="FFFFFF" w:themeColor="background1"/>
                <w:sz w:val="20"/>
              </w:rPr>
              <w:t xml:space="preserve">et au service de l’apprentissage </w:t>
            </w:r>
            <w:r>
              <w:rPr>
                <w:rFonts w:ascii="Verdana" w:hAnsi="Verdana"/>
                <w:color w:val="FFFFFF" w:themeColor="background1"/>
                <w:sz w:val="20"/>
              </w:rPr>
              <w:t xml:space="preserve">(auto-évaluation/évaluation </w:t>
            </w:r>
            <w:r>
              <w:rPr>
                <w:rFonts w:ascii="PMingLiU" w:eastAsia="PMingLiU" w:hAnsi="PMingLiU" w:cs="PMingLiU"/>
                <w:color w:val="FFFFFF" w:themeColor="background1"/>
                <w:sz w:val="20"/>
              </w:rPr>
              <w:br/>
            </w:r>
            <w:r>
              <w:rPr>
                <w:rFonts w:ascii="Verdana" w:hAnsi="Verdana"/>
                <w:color w:val="FFFFFF" w:themeColor="background1"/>
                <w:sz w:val="20"/>
              </w:rPr>
              <w:t>par les pairs/le personnel enseignant)</w:t>
            </w:r>
          </w:p>
        </w:tc>
      </w:tr>
      <w:tr w:rsidR="002D0AF9" w:rsidRPr="00FC75BD" w14:paraId="0A079247" w14:textId="77777777" w:rsidTr="000F5619">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0A55C35F" w:rsidR="002D0AF9" w:rsidRPr="00FC75BD" w:rsidRDefault="00FE2517" w:rsidP="00547017">
            <w:pPr>
              <w:pStyle w:val="SectionHeading"/>
            </w:pPr>
            <w:r w:rsidRPr="00FE2517">
              <w:rPr>
                <w:lang w:bidi="fr-CA"/>
              </w:rPr>
              <w:t>MISE EN SITUATION</w:t>
            </w:r>
          </w:p>
        </w:tc>
      </w:tr>
      <w:tr w:rsidR="00FE2517" w:rsidRPr="004365A8" w14:paraId="356BF08B" w14:textId="77777777" w:rsidTr="00FE2517">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00F53147" w:rsidR="00FE2517" w:rsidRPr="00E80C32" w:rsidRDefault="00FE2517" w:rsidP="00FE25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7BF3EB3" w14:textId="4EBFD67C" w:rsidR="00FE2517" w:rsidRPr="00FE2517" w:rsidRDefault="00FE2517" w:rsidP="00FE2517">
            <w:pPr>
              <w:pStyle w:val="Copy"/>
              <w:rPr>
                <w:rFonts w:cs="Gotham Light"/>
                <w:szCs w:val="22"/>
              </w:rPr>
            </w:pPr>
            <w:r>
              <w:t xml:space="preserve">Présenter des vidéos ou des photos de musiciens de rue qui donnent un spectacle. Demander aux élèves s’ils ont déjà eu l’occasion d’entendre des musiciens de rue. Leur poser des questions sur le lieu où ils ont entendu ces musiciens, la qualité de leur musique, et les instruments et l’équipement utilisés. </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4FE4DAFE" w:rsidR="00FE2517" w:rsidRPr="004365A8" w:rsidRDefault="00FE2517" w:rsidP="00FE2517">
            <w:pPr>
              <w:pStyle w:val="Copy"/>
            </w:pPr>
          </w:p>
        </w:tc>
      </w:tr>
    </w:tbl>
    <w:p w14:paraId="6296CE87" w14:textId="7E14D68C" w:rsidR="00FE2517" w:rsidRDefault="00FE2517" w:rsidP="00FD4DDC">
      <w:pPr>
        <w:pStyle w:val="SpaceBetween"/>
      </w:pPr>
    </w:p>
    <w:p w14:paraId="0077AC54" w14:textId="77777777" w:rsidR="00FE2517" w:rsidRDefault="00FE2517">
      <w:pPr>
        <w:rPr>
          <w:rFonts w:ascii="Verdana" w:hAnsi="Verdana" w:cs="Arial"/>
          <w:sz w:val="14"/>
          <w:szCs w:val="14"/>
        </w:rPr>
      </w:pPr>
      <w:r>
        <w:br w:type="page"/>
      </w:r>
    </w:p>
    <w:tbl>
      <w:tblPr>
        <w:tblStyle w:val="TableGrid"/>
        <w:tblW w:w="0" w:type="auto"/>
        <w:tblInd w:w="-10" w:type="dxa"/>
        <w:tblLayout w:type="fixed"/>
        <w:tblLook w:val="04A0" w:firstRow="1" w:lastRow="0" w:firstColumn="1" w:lastColumn="0" w:noHBand="0" w:noVBand="1"/>
      </w:tblPr>
      <w:tblGrid>
        <w:gridCol w:w="10"/>
        <w:gridCol w:w="1074"/>
        <w:gridCol w:w="6562"/>
        <w:gridCol w:w="3144"/>
      </w:tblGrid>
      <w:tr w:rsidR="00FE2517" w:rsidRPr="00FC75BD" w14:paraId="61350F9A" w14:textId="77777777" w:rsidTr="00FE2517">
        <w:trPr>
          <w:gridBefore w:val="1"/>
          <w:wBefore w:w="10" w:type="dxa"/>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FA638E5" w14:textId="77777777" w:rsidR="00FE2517" w:rsidRPr="00FC75BD" w:rsidRDefault="00FE2517" w:rsidP="00156279">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66E18BD5" w14:textId="77777777" w:rsidR="00FE2517" w:rsidRPr="00FC75BD" w:rsidRDefault="00FE2517" w:rsidP="00DF4441">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5BE5C6B" w14:textId="77777777" w:rsidR="00FE2517" w:rsidRPr="00FC75BD" w:rsidRDefault="00FE2517" w:rsidP="00DF4441">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2EC603F" w14:textId="77777777" w:rsidR="00FE2517" w:rsidRPr="00FC75BD" w:rsidRDefault="00FE2517" w:rsidP="00DF4441">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PMingLiU" w:eastAsia="PMingLiU" w:hAnsi="PMingLiU" w:cs="PMingLiU"/>
                <w:b/>
                <w:color w:val="FFFFFF" w:themeColor="background1"/>
                <w:sz w:val="20"/>
              </w:rPr>
              <w:br/>
            </w:r>
            <w:r>
              <w:rPr>
                <w:rFonts w:ascii="Verdana" w:hAnsi="Verdana"/>
                <w:b/>
                <w:color w:val="FFFFFF" w:themeColor="background1"/>
                <w:sz w:val="20"/>
              </w:rPr>
              <w:t xml:space="preserve">et au service de l’apprentissage </w:t>
            </w:r>
            <w:r>
              <w:rPr>
                <w:rFonts w:ascii="Verdana" w:hAnsi="Verdana"/>
                <w:color w:val="FFFFFF" w:themeColor="background1"/>
                <w:sz w:val="20"/>
              </w:rPr>
              <w:t xml:space="preserve">(auto-évaluation/évaluation </w:t>
            </w:r>
            <w:r>
              <w:rPr>
                <w:rFonts w:ascii="PMingLiU" w:eastAsia="PMingLiU" w:hAnsi="PMingLiU" w:cs="PMingLiU"/>
                <w:color w:val="FFFFFF" w:themeColor="background1"/>
                <w:sz w:val="20"/>
              </w:rPr>
              <w:br/>
            </w:r>
            <w:r>
              <w:rPr>
                <w:rFonts w:ascii="Verdana" w:hAnsi="Verdana"/>
                <w:color w:val="FFFFFF" w:themeColor="background1"/>
                <w:sz w:val="20"/>
              </w:rPr>
              <w:t>par les pairs/le personnel enseignant)</w:t>
            </w:r>
          </w:p>
        </w:tc>
      </w:tr>
      <w:tr w:rsidR="00FE2517" w:rsidRPr="00FC75BD" w14:paraId="7C52AE7D" w14:textId="77777777" w:rsidTr="00FE2517">
        <w:trPr>
          <w:gridBefore w:val="1"/>
          <w:wBefore w:w="10" w:type="dxa"/>
          <w:trHeight w:val="432"/>
        </w:trPr>
        <w:tc>
          <w:tcPr>
            <w:tcW w:w="10780" w:type="dxa"/>
            <w:gridSpan w:val="3"/>
            <w:tcBorders>
              <w:top w:val="single" w:sz="8" w:space="0" w:color="54B948"/>
              <w:left w:val="single" w:sz="8" w:space="0" w:color="3F708E"/>
              <w:bottom w:val="single" w:sz="8" w:space="0" w:color="54B948"/>
              <w:right w:val="single" w:sz="8" w:space="0" w:color="3F708E"/>
            </w:tcBorders>
            <w:shd w:val="clear" w:color="auto" w:fill="3F708E"/>
            <w:vAlign w:val="center"/>
          </w:tcPr>
          <w:p w14:paraId="4BA4620F" w14:textId="04456564" w:rsidR="00FE2517" w:rsidRPr="00FE2517" w:rsidRDefault="00FE2517" w:rsidP="00DF4441">
            <w:pPr>
              <w:pStyle w:val="SectionHeading"/>
              <w:rPr>
                <w:b w:val="0"/>
              </w:rPr>
            </w:pPr>
            <w:r w:rsidRPr="00FE2517">
              <w:rPr>
                <w:lang w:bidi="fr-CA"/>
              </w:rPr>
              <w:t>MISE EN SITUATION</w:t>
            </w:r>
            <w:r>
              <w:rPr>
                <w:lang w:bidi="fr-CA"/>
              </w:rPr>
              <w:t xml:space="preserve"> </w:t>
            </w:r>
            <w:r>
              <w:rPr>
                <w:b w:val="0"/>
                <w:lang w:bidi="fr-CA"/>
              </w:rPr>
              <w:t>(suite)</w:t>
            </w:r>
          </w:p>
        </w:tc>
      </w:tr>
      <w:tr w:rsidR="00FE2517" w:rsidRPr="004365A8" w14:paraId="18919D65" w14:textId="77777777" w:rsidTr="00FE2517">
        <w:trPr>
          <w:gridBefore w:val="1"/>
          <w:wBefore w:w="10" w:type="dxa"/>
          <w:trHeight w:val="13"/>
        </w:trPr>
        <w:tc>
          <w:tcPr>
            <w:tcW w:w="1074" w:type="dxa"/>
            <w:tcBorders>
              <w:top w:val="single" w:sz="8" w:space="0" w:color="54B948"/>
              <w:left w:val="single" w:sz="8" w:space="0" w:color="54B948"/>
              <w:bottom w:val="nil"/>
              <w:right w:val="single" w:sz="8" w:space="0" w:color="54B948"/>
            </w:tcBorders>
            <w:tcMar>
              <w:top w:w="173" w:type="dxa"/>
              <w:left w:w="72" w:type="dxa"/>
              <w:right w:w="72" w:type="dxa"/>
            </w:tcMar>
          </w:tcPr>
          <w:p w14:paraId="44EA2EE8" w14:textId="77777777" w:rsidR="00FE2517" w:rsidRPr="00E80C32" w:rsidRDefault="00FE2517" w:rsidP="00DF4441">
            <w:pPr>
              <w:pStyle w:val="CopyCentred"/>
            </w:pPr>
          </w:p>
        </w:tc>
        <w:tc>
          <w:tcPr>
            <w:tcW w:w="6562" w:type="dxa"/>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67164F53" w14:textId="77777777" w:rsidR="00FE2517" w:rsidRPr="00FE2517" w:rsidRDefault="00FE2517" w:rsidP="00DF4441">
            <w:pPr>
              <w:pStyle w:val="Subhead"/>
              <w:rPr>
                <w:lang w:bidi="fr-CA"/>
              </w:rPr>
            </w:pPr>
            <w:r w:rsidRPr="00FE2517">
              <w:rPr>
                <w:lang w:bidi="fr-CA"/>
              </w:rPr>
              <w:t>Contexte d’apprentissage</w:t>
            </w:r>
          </w:p>
          <w:p w14:paraId="5DEE0335" w14:textId="77777777" w:rsidR="00FE2517" w:rsidRPr="00FE2517" w:rsidRDefault="00FE2517" w:rsidP="00DF4441">
            <w:pPr>
              <w:pStyle w:val="Copy"/>
              <w:rPr>
                <w:lang w:bidi="fr-CA"/>
              </w:rPr>
            </w:pPr>
            <w:r w:rsidRPr="00FE2517">
              <w:rPr>
                <w:lang w:bidi="fr-CA"/>
              </w:rPr>
              <w:t xml:space="preserve">Marc est un personnage qui ne cesse d’éprouver des troubles financiers. Utiliser le scénario ci-dessous pour fournir aux élèves un contexte d’apprentissage. </w:t>
            </w:r>
          </w:p>
          <w:p w14:paraId="0EFE0337" w14:textId="77777777" w:rsidR="00FE2517" w:rsidRPr="1AC6B3EC" w:rsidRDefault="00FE2517" w:rsidP="00DF4441">
            <w:pPr>
              <w:pStyle w:val="Copy"/>
            </w:pPr>
            <w:r w:rsidRPr="00FE2517">
              <w:rPr>
                <w:lang w:bidi="fr-CA"/>
              </w:rPr>
              <w:t>Marc a besoin d’argent et cherche un moyen d’en gagner. Tout à coup, il a une idée. Il va sortir sa vieille guitare du fond de son placard et jouer de la musique en public. Malheureusement, comme il n’est pas très bon musicien et qu’il ne sait pas vraiment comment s’y prendre, il n’a pas beaucoup de succès. Il se place sur un coin de rue qui n’est pas très passant et, pour couronner le tout, un policier lui donne une contravention parce qu’il n’a pas de permis de musicien de rue. Comment pouvons-nous aider Marc à gagner de l’argent en jouant de la musique en public, sans payer d’amende?</w:t>
            </w:r>
          </w:p>
        </w:tc>
        <w:tc>
          <w:tcPr>
            <w:tcW w:w="3144" w:type="dxa"/>
            <w:tcBorders>
              <w:top w:val="single" w:sz="8" w:space="0" w:color="54B948"/>
              <w:left w:val="single" w:sz="8" w:space="0" w:color="54B948"/>
              <w:bottom w:val="nil"/>
              <w:right w:val="single" w:sz="8" w:space="0" w:color="54B948"/>
            </w:tcBorders>
            <w:tcMar>
              <w:top w:w="173" w:type="dxa"/>
              <w:left w:w="259" w:type="dxa"/>
              <w:right w:w="115" w:type="dxa"/>
            </w:tcMar>
          </w:tcPr>
          <w:p w14:paraId="41CE0B3B" w14:textId="77777777" w:rsidR="00FE2517" w:rsidRPr="00F75708" w:rsidRDefault="00FE2517" w:rsidP="00DF4441">
            <w:pPr>
              <w:pStyle w:val="Copy"/>
              <w:rPr>
                <w:lang w:val="en-US"/>
              </w:rPr>
            </w:pPr>
          </w:p>
        </w:tc>
      </w:tr>
      <w:tr w:rsidR="00564081" w14:paraId="70B64906" w14:textId="77777777" w:rsidTr="00FE2517">
        <w:trPr>
          <w:trHeight w:val="432"/>
        </w:trPr>
        <w:tc>
          <w:tcPr>
            <w:tcW w:w="10790" w:type="dxa"/>
            <w:gridSpan w:val="4"/>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FE2517" w14:paraId="320896F8" w14:textId="77777777" w:rsidTr="00FE2517">
        <w:trPr>
          <w:trHeight w:val="3112"/>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1C1C5F05" w14:textId="70D3CA51" w:rsidR="00FE2517" w:rsidRPr="00567ED8" w:rsidRDefault="00FE2517" w:rsidP="00FE25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1B41662" w14:textId="77777777" w:rsidR="00FE2517" w:rsidRPr="00FE2517" w:rsidRDefault="00FE2517" w:rsidP="00FE2517">
            <w:pPr>
              <w:pStyle w:val="Copy"/>
              <w:rPr>
                <w:lang w:bidi="fr-CA"/>
              </w:rPr>
            </w:pPr>
            <w:r w:rsidRPr="00FE2517">
              <w:rPr>
                <w:lang w:bidi="fr-CA"/>
              </w:rPr>
              <w:t xml:space="preserve">Demander aux élèves de discuter, en petits groupes, de différents aspects concernant les musiciens de rue : </w:t>
            </w:r>
          </w:p>
          <w:p w14:paraId="04CB7CBB" w14:textId="53514215" w:rsidR="00FE2517" w:rsidRPr="00FE2517" w:rsidRDefault="00FE2517" w:rsidP="00FE2517">
            <w:pPr>
              <w:pStyle w:val="Bullet"/>
              <w:rPr>
                <w:lang w:bidi="fr-CA"/>
              </w:rPr>
            </w:pPr>
            <w:r w:rsidRPr="00FE2517">
              <w:rPr>
                <w:lang w:bidi="fr-CA"/>
              </w:rPr>
              <w:t xml:space="preserve">Qui sont-ils? </w:t>
            </w:r>
          </w:p>
          <w:p w14:paraId="0D7CBE38" w14:textId="214E48F2" w:rsidR="00FE2517" w:rsidRPr="00FE2517" w:rsidRDefault="00FE2517" w:rsidP="00FE2517">
            <w:pPr>
              <w:pStyle w:val="Bullet"/>
              <w:rPr>
                <w:lang w:bidi="fr-CA"/>
              </w:rPr>
            </w:pPr>
            <w:r w:rsidRPr="00FE2517">
              <w:rPr>
                <w:lang w:bidi="fr-CA"/>
              </w:rPr>
              <w:t>Quels sont leurs antécédents ou leurs intérêts dans leur discipline artistique?</w:t>
            </w:r>
          </w:p>
          <w:p w14:paraId="059A2B3C" w14:textId="1F191BDA" w:rsidR="00FE2517" w:rsidRPr="00FE2517" w:rsidRDefault="00FE2517" w:rsidP="00FE2517">
            <w:pPr>
              <w:pStyle w:val="Bullet"/>
              <w:rPr>
                <w:lang w:bidi="fr-CA"/>
              </w:rPr>
            </w:pPr>
            <w:r w:rsidRPr="00FE2517">
              <w:rPr>
                <w:lang w:bidi="fr-CA"/>
              </w:rPr>
              <w:t xml:space="preserve">Ont-ils déjà suivi des cours de musique ou jouent-ils d’oreille? </w:t>
            </w:r>
          </w:p>
          <w:p w14:paraId="06795BD1" w14:textId="16F70F78" w:rsidR="00FE2517" w:rsidRPr="00FE2517" w:rsidRDefault="00FE2517" w:rsidP="00FE2517">
            <w:pPr>
              <w:pStyle w:val="Bullet"/>
              <w:rPr>
                <w:lang w:bidi="fr-CA"/>
              </w:rPr>
            </w:pPr>
            <w:r w:rsidRPr="00FE2517">
              <w:rPr>
                <w:lang w:bidi="fr-CA"/>
              </w:rPr>
              <w:t xml:space="preserve">Pourquoi jouent-ils dans des lieux publics? </w:t>
            </w:r>
          </w:p>
          <w:p w14:paraId="78C40B2F" w14:textId="5B52EA65" w:rsidR="00FE2517" w:rsidRPr="00FE2517" w:rsidRDefault="00FE2517" w:rsidP="00FE2517">
            <w:pPr>
              <w:pStyle w:val="Bullet"/>
              <w:rPr>
                <w:lang w:bidi="fr-CA"/>
              </w:rPr>
            </w:pPr>
            <w:r w:rsidRPr="00FE2517">
              <w:rPr>
                <w:lang w:bidi="fr-CA"/>
              </w:rPr>
              <w:t xml:space="preserve">Quels types de spectacles conviennent aux lieux publics? </w:t>
            </w:r>
          </w:p>
          <w:p w14:paraId="13EDF500" w14:textId="1A08B6A0" w:rsidR="00FE2517" w:rsidRPr="00FE2517" w:rsidRDefault="00FE2517" w:rsidP="00FE2517">
            <w:pPr>
              <w:pStyle w:val="Bullet"/>
              <w:rPr>
                <w:lang w:bidi="fr-CA"/>
              </w:rPr>
            </w:pPr>
            <w:r w:rsidRPr="00FE2517">
              <w:rPr>
                <w:lang w:bidi="fr-CA"/>
              </w:rPr>
              <w:t xml:space="preserve">Quels types de personnes s’arrêtent pour écouter ces spectacles? </w:t>
            </w:r>
          </w:p>
          <w:p w14:paraId="2ADCBC45" w14:textId="459C58D5" w:rsidR="00FE2517" w:rsidRPr="00FE2517" w:rsidRDefault="00FE2517" w:rsidP="00FE2517">
            <w:pPr>
              <w:pStyle w:val="Bullet"/>
              <w:rPr>
                <w:lang w:bidi="fr-CA"/>
              </w:rPr>
            </w:pPr>
            <w:r w:rsidRPr="00FE2517">
              <w:rPr>
                <w:lang w:bidi="fr-CA"/>
              </w:rPr>
              <w:t xml:space="preserve">Qu’est-ce qui pourrait faire en sorte qu’une personne donne ou non de l’argent à un musicien de rue? </w:t>
            </w:r>
          </w:p>
          <w:p w14:paraId="712F708A" w14:textId="75A492B0" w:rsidR="00FE2517" w:rsidRPr="00FE2517" w:rsidRDefault="00FE2517" w:rsidP="00FE2517">
            <w:pPr>
              <w:pStyle w:val="Bullet"/>
              <w:rPr>
                <w:lang w:bidi="fr-CA"/>
              </w:rPr>
            </w:pPr>
            <w:r w:rsidRPr="00FE2517">
              <w:rPr>
                <w:lang w:bidi="fr-CA"/>
              </w:rPr>
              <w:t xml:space="preserve">Comment les musiciens de rue s’y prennent-ils pour recueillir de l’argent et le protéger? </w:t>
            </w:r>
          </w:p>
          <w:p w14:paraId="2BD63A43" w14:textId="40024A6A" w:rsidR="00FE2517" w:rsidRPr="00567ED8" w:rsidRDefault="00FE2517" w:rsidP="00FE2517">
            <w:pPr>
              <w:pStyle w:val="Bullet"/>
              <w:rPr>
                <w:lang w:bidi="fr-CA"/>
              </w:rPr>
            </w:pPr>
            <w:r w:rsidRPr="00FE2517">
              <w:rPr>
                <w:lang w:bidi="fr-CA"/>
              </w:rPr>
              <w:t xml:space="preserve">Combien d’argent gagnent-ils par jour? </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485F4AE" w14:textId="622982FE" w:rsidR="00FE2517" w:rsidRPr="004365A8" w:rsidRDefault="00FE2517" w:rsidP="00FE2517">
            <w:pPr>
              <w:pStyle w:val="Copy"/>
            </w:pPr>
            <w:r>
              <w:t>Recueillir le tableau de comparaison des lieux où peuvent se tenir les spectacles de rue (annexe A)</w:t>
            </w:r>
            <w:r w:rsidRPr="00991485">
              <w:rPr>
                <w:sz w:val="18"/>
                <w:szCs w:val="18"/>
              </w:rPr>
              <w:t xml:space="preserve"> </w:t>
            </w:r>
          </w:p>
        </w:tc>
      </w:tr>
    </w:tbl>
    <w:p w14:paraId="4379C2BB" w14:textId="77777777" w:rsidR="00FE2517" w:rsidRDefault="000F5619">
      <w:r>
        <w:br w:type="page"/>
      </w:r>
    </w:p>
    <w:tbl>
      <w:tblPr>
        <w:tblStyle w:val="TableGrid"/>
        <w:tblW w:w="0" w:type="auto"/>
        <w:tblInd w:w="-10" w:type="dxa"/>
        <w:tblLayout w:type="fixed"/>
        <w:tblLook w:val="04A0" w:firstRow="1" w:lastRow="0" w:firstColumn="1" w:lastColumn="0" w:noHBand="0" w:noVBand="1"/>
      </w:tblPr>
      <w:tblGrid>
        <w:gridCol w:w="10"/>
        <w:gridCol w:w="1074"/>
        <w:gridCol w:w="6562"/>
        <w:gridCol w:w="3144"/>
      </w:tblGrid>
      <w:tr w:rsidR="00FE2517" w:rsidRPr="00FC75BD" w14:paraId="614DCA31" w14:textId="77777777" w:rsidTr="00DF4441">
        <w:trPr>
          <w:gridBefore w:val="1"/>
          <w:wBefore w:w="10" w:type="dxa"/>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1306829" w14:textId="77777777" w:rsidR="00FE2517" w:rsidRPr="00FC75BD" w:rsidRDefault="00FE2517" w:rsidP="00156279">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918B9C6" w14:textId="77777777" w:rsidR="00FE2517" w:rsidRPr="00FC75BD" w:rsidRDefault="00FE2517" w:rsidP="00DF4441">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49BA258" w14:textId="77777777" w:rsidR="00FE2517" w:rsidRPr="00FC75BD" w:rsidRDefault="00FE2517" w:rsidP="00DF4441">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1AFD366" w14:textId="77777777" w:rsidR="00FE2517" w:rsidRPr="00FC75BD" w:rsidRDefault="00FE2517" w:rsidP="00DF4441">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PMingLiU" w:eastAsia="PMingLiU" w:hAnsi="PMingLiU" w:cs="PMingLiU"/>
                <w:b/>
                <w:color w:val="FFFFFF" w:themeColor="background1"/>
                <w:sz w:val="20"/>
              </w:rPr>
              <w:br/>
            </w:r>
            <w:r>
              <w:rPr>
                <w:rFonts w:ascii="Verdana" w:hAnsi="Verdana"/>
                <w:b/>
                <w:color w:val="FFFFFF" w:themeColor="background1"/>
                <w:sz w:val="20"/>
              </w:rPr>
              <w:t xml:space="preserve">et au service de l’apprentissage </w:t>
            </w:r>
            <w:r>
              <w:rPr>
                <w:rFonts w:ascii="Verdana" w:hAnsi="Verdana"/>
                <w:color w:val="FFFFFF" w:themeColor="background1"/>
                <w:sz w:val="20"/>
              </w:rPr>
              <w:t xml:space="preserve">(auto-évaluation/évaluation </w:t>
            </w:r>
            <w:r>
              <w:rPr>
                <w:rFonts w:ascii="PMingLiU" w:eastAsia="PMingLiU" w:hAnsi="PMingLiU" w:cs="PMingLiU"/>
                <w:color w:val="FFFFFF" w:themeColor="background1"/>
                <w:sz w:val="20"/>
              </w:rPr>
              <w:br/>
            </w:r>
            <w:r>
              <w:rPr>
                <w:rFonts w:ascii="Verdana" w:hAnsi="Verdana"/>
                <w:color w:val="FFFFFF" w:themeColor="background1"/>
                <w:sz w:val="20"/>
              </w:rPr>
              <w:t>par les pairs/le personnel enseignant)</w:t>
            </w:r>
          </w:p>
        </w:tc>
      </w:tr>
      <w:tr w:rsidR="00FE2517" w14:paraId="1B84FA72" w14:textId="77777777" w:rsidTr="00DF4441">
        <w:trPr>
          <w:trHeight w:val="432"/>
        </w:trPr>
        <w:tc>
          <w:tcPr>
            <w:tcW w:w="10790" w:type="dxa"/>
            <w:gridSpan w:val="4"/>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2B2416E" w14:textId="1CCC8C47" w:rsidR="00FE2517" w:rsidRPr="00FE2517" w:rsidRDefault="00FE2517" w:rsidP="00DF4441">
            <w:pPr>
              <w:pStyle w:val="SectionHeading"/>
              <w:rPr>
                <w:b w:val="0"/>
              </w:rPr>
            </w:pPr>
            <w:r>
              <w:t xml:space="preserve">ACTION </w:t>
            </w:r>
            <w:r>
              <w:rPr>
                <w:b w:val="0"/>
              </w:rPr>
              <w:t>(suite)</w:t>
            </w:r>
          </w:p>
        </w:tc>
      </w:tr>
      <w:tr w:rsidR="00FE2517" w14:paraId="14678905" w14:textId="77777777" w:rsidTr="00DF4441">
        <w:trPr>
          <w:trHeight w:val="3112"/>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5788A6F4" w14:textId="77777777" w:rsidR="00FE2517" w:rsidRPr="00567ED8" w:rsidRDefault="00FE2517" w:rsidP="00DF4441">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9050F0C" w14:textId="585219CC" w:rsidR="00FE2517" w:rsidRPr="00FE2517" w:rsidRDefault="00FE2517" w:rsidP="00FE2517">
            <w:pPr>
              <w:pStyle w:val="Copy"/>
              <w:rPr>
                <w:lang w:val="fr-CA" w:bidi="fr-CA"/>
              </w:rPr>
            </w:pPr>
            <w:r w:rsidRPr="00FE2517">
              <w:rPr>
                <w:lang w:val="fr-CA" w:bidi="fr-CA"/>
              </w:rPr>
              <w:t>Distribuer à chaque élève un plan de l’école ainsi que le tableau de comparaison des lieux où peuvent se tenir les spectacles de rue (annexe A).</w:t>
            </w:r>
          </w:p>
          <w:p w14:paraId="421F0FD5" w14:textId="77777777" w:rsidR="00FE2517" w:rsidRPr="00FE2517" w:rsidRDefault="00FE2517" w:rsidP="00FE2517">
            <w:pPr>
              <w:pStyle w:val="Copy"/>
              <w:rPr>
                <w:lang w:val="fr-CA" w:bidi="fr-CA"/>
              </w:rPr>
            </w:pPr>
            <w:r w:rsidRPr="00FE2517">
              <w:rPr>
                <w:lang w:val="fr-CA" w:bidi="fr-CA"/>
              </w:rPr>
              <w:t xml:space="preserve">Expliquer aux élèves qu’ils devront présenter un spectacle de rue d’une durée d’une période de classe. (Cette activité pourrait être utilisée pour recueillir des fonds ou pour </w:t>
            </w:r>
            <w:r w:rsidRPr="00FE2517">
              <w:rPr>
                <w:lang w:val="fr-CA" w:bidi="fr-CA"/>
              </w:rPr>
              <w:br/>
              <w:t xml:space="preserve">sensibiliser les gens à un problème précis.) Les élèves se produiront en petits groupes. </w:t>
            </w:r>
          </w:p>
          <w:p w14:paraId="3CAF3B5E" w14:textId="77777777" w:rsidR="00FE2517" w:rsidRPr="00FE2517" w:rsidRDefault="00FE2517" w:rsidP="00FE2517">
            <w:pPr>
              <w:pStyle w:val="Copy"/>
              <w:rPr>
                <w:lang w:val="fr-CA" w:bidi="fr-CA"/>
              </w:rPr>
            </w:pPr>
            <w:r w:rsidRPr="00FE2517">
              <w:rPr>
                <w:lang w:val="fr-CA" w:bidi="fr-CA"/>
              </w:rPr>
              <w:t xml:space="preserve">Amorcer une conversation sur les lieux qui sont convenables pour les spectacles de rue, qu’il s’agisse de gagner de l’argent ou de sensibiliser les gens à un problème. Demander ensuite aux élèves de remplir le tableau de comparaison des lieux où peuvent se tenir les spectacles de rue. Ils pourront y indiquer les caractéristiques d’un lieu idéal et celles d’un lieu inapproprié et aussi y expliquer comment l’argent pourrait être recueilli et compté après le spectacle. </w:t>
            </w:r>
          </w:p>
          <w:p w14:paraId="29854896" w14:textId="77777777" w:rsidR="00FE2517" w:rsidRPr="00FE2517" w:rsidRDefault="00FE2517" w:rsidP="00FE2517">
            <w:pPr>
              <w:pStyle w:val="Copy"/>
              <w:rPr>
                <w:lang w:val="fr-CA" w:bidi="fr-CA"/>
              </w:rPr>
            </w:pPr>
            <w:r w:rsidRPr="00FE2517">
              <w:rPr>
                <w:lang w:val="fr-CA" w:bidi="fr-CA"/>
              </w:rPr>
              <w:t xml:space="preserve">Demander aux élèves d’examiner le plan de l’école et de déterminer les meilleurs lieux pour y présenter un spectacle « de rue ». Leur demander également d’expliquer pourquoi ces lieux seraient les meilleurs (par exemple, un achalandage important ou une bonne acoustique). </w:t>
            </w:r>
          </w:p>
          <w:p w14:paraId="0FF4D8C0" w14:textId="793E683F" w:rsidR="00FE2517" w:rsidRPr="00567ED8" w:rsidRDefault="00FE2517" w:rsidP="00FE2517">
            <w:pPr>
              <w:pStyle w:val="Copy"/>
              <w:rPr>
                <w:lang w:bidi="fr-CA"/>
              </w:rPr>
            </w:pPr>
            <w:r w:rsidRPr="00FE2517">
              <w:rPr>
                <w:lang w:val="fr-CA" w:bidi="fr-CA"/>
              </w:rPr>
              <w:t>Si possible, se rendre avec les élèves aux lieux suggérés en vue de remplir le tableau de comparaison et d’évaluer l’achalandage, l’acoustique et d’autres facteurs.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3F2BF51F" w14:textId="1675BF18" w:rsidR="00FE2517" w:rsidRPr="004365A8" w:rsidRDefault="00FE2517" w:rsidP="00FE2517">
            <w:pPr>
              <w:pStyle w:val="Copy"/>
            </w:pPr>
          </w:p>
        </w:tc>
      </w:tr>
    </w:tbl>
    <w:p w14:paraId="3DAF4239" w14:textId="60B49C5F" w:rsidR="00FE2517" w:rsidRDefault="00FE2517"/>
    <w:p w14:paraId="64EB17C6" w14:textId="4B393B44" w:rsidR="00FE2517" w:rsidRDefault="00FE2517">
      <w:r>
        <w:br w:type="page"/>
      </w:r>
    </w:p>
    <w:tbl>
      <w:tblPr>
        <w:tblStyle w:val="TableGrid"/>
        <w:tblW w:w="0" w:type="auto"/>
        <w:tblLayout w:type="fixed"/>
        <w:tblLook w:val="04A0" w:firstRow="1" w:lastRow="0" w:firstColumn="1" w:lastColumn="0" w:noHBand="0" w:noVBand="1"/>
      </w:tblPr>
      <w:tblGrid>
        <w:gridCol w:w="1074"/>
        <w:gridCol w:w="6562"/>
        <w:gridCol w:w="3144"/>
      </w:tblGrid>
      <w:tr w:rsidR="00FE2517" w:rsidRPr="00FC75BD" w14:paraId="36FF58F6" w14:textId="77777777" w:rsidTr="00FE2517">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4E4374D" w14:textId="77777777" w:rsidR="00FE2517" w:rsidRPr="00FC75BD" w:rsidRDefault="00FE2517" w:rsidP="00156279">
            <w:pPr>
              <w:jc w:val="center"/>
              <w:rPr>
                <w:rFonts w:ascii="Verdana" w:hAnsi="Verdana" w:cs="Arial"/>
                <w:b/>
                <w:bCs/>
                <w:color w:val="FFFFFF" w:themeColor="background1"/>
                <w:sz w:val="20"/>
                <w:szCs w:val="20"/>
              </w:rPr>
            </w:pPr>
            <w:r>
              <w:rPr>
                <w:rFonts w:ascii="Verdana" w:hAnsi="Verdana"/>
                <w:b/>
                <w:color w:val="FFFFFF" w:themeColor="background1"/>
                <w:sz w:val="20"/>
              </w:rPr>
              <w:t>Durée</w:t>
            </w:r>
            <w:bookmarkStart w:id="0" w:name="_GoBack"/>
            <w:bookmarkEnd w:id="0"/>
          </w:p>
          <w:p w14:paraId="721B0A85" w14:textId="622A3DEB" w:rsidR="00FE2517" w:rsidRPr="00FC75BD" w:rsidRDefault="00FE2517"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26F8D26" w14:textId="6388F82F" w:rsidR="00FE2517" w:rsidRPr="00FC75BD" w:rsidRDefault="00FE2517"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C86B5F5" w14:textId="35401386" w:rsidR="00FE2517" w:rsidRPr="00FC75BD" w:rsidRDefault="00FE2517" w:rsidP="0054701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PMingLiU" w:eastAsia="PMingLiU" w:hAnsi="PMingLiU" w:cs="PMingLiU"/>
                <w:b/>
                <w:color w:val="FFFFFF" w:themeColor="background1"/>
                <w:sz w:val="20"/>
              </w:rPr>
              <w:br/>
            </w:r>
            <w:r>
              <w:rPr>
                <w:rFonts w:ascii="Verdana" w:hAnsi="Verdana"/>
                <w:b/>
                <w:color w:val="FFFFFF" w:themeColor="background1"/>
                <w:sz w:val="20"/>
              </w:rPr>
              <w:t xml:space="preserve">et au service de l’apprentissage </w:t>
            </w:r>
            <w:r>
              <w:rPr>
                <w:rFonts w:ascii="Verdana" w:hAnsi="Verdana"/>
                <w:color w:val="FFFFFF" w:themeColor="background1"/>
                <w:sz w:val="20"/>
              </w:rPr>
              <w:t xml:space="preserve">(auto-évaluation/évaluation </w:t>
            </w:r>
            <w:r>
              <w:rPr>
                <w:rFonts w:ascii="PMingLiU" w:eastAsia="PMingLiU" w:hAnsi="PMingLiU" w:cs="PMingLiU"/>
                <w:color w:val="FFFFFF" w:themeColor="background1"/>
                <w:sz w:val="20"/>
              </w:rPr>
              <w:br/>
            </w:r>
            <w:r>
              <w:rPr>
                <w:rFonts w:ascii="Verdana" w:hAnsi="Verdana"/>
                <w:color w:val="FFFFFF" w:themeColor="background1"/>
                <w:sz w:val="20"/>
              </w:rPr>
              <w:t>par les pairs/le personnel enseignant)</w:t>
            </w:r>
          </w:p>
        </w:tc>
      </w:tr>
      <w:tr w:rsidR="00BA1E29" w:rsidRPr="00FC75BD" w14:paraId="38019315" w14:textId="77777777" w:rsidTr="00547017">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7D04B0DA" w14:textId="578AEA72" w:rsidR="00BA1E29" w:rsidRPr="00FC75BD" w:rsidRDefault="00FE2517" w:rsidP="00547017">
            <w:pPr>
              <w:pStyle w:val="SectionHeading"/>
            </w:pPr>
            <w:r w:rsidRPr="00FE2517">
              <w:rPr>
                <w:lang w:bidi="fr-CA"/>
              </w:rPr>
              <w:t>COMPTE RENDU ET CONSOLIDATION</w:t>
            </w:r>
          </w:p>
        </w:tc>
      </w:tr>
      <w:tr w:rsidR="00BA1E29" w:rsidRPr="004365A8" w14:paraId="5259EC03" w14:textId="77777777" w:rsidTr="00547017">
        <w:trPr>
          <w:trHeight w:val="3616"/>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F745815" w14:textId="03EA5415" w:rsidR="00BA1E29" w:rsidRPr="00E80C32" w:rsidRDefault="00BA1E29" w:rsidP="005470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DED0B05" w14:textId="77777777" w:rsidR="00FE2517" w:rsidRPr="00FE2517" w:rsidRDefault="00FE2517" w:rsidP="00FE2517">
            <w:pPr>
              <w:pStyle w:val="Copy"/>
              <w:rPr>
                <w:lang w:bidi="fr-CA"/>
              </w:rPr>
            </w:pPr>
            <w:r w:rsidRPr="00FE2517">
              <w:rPr>
                <w:lang w:bidi="fr-CA"/>
              </w:rPr>
              <w:t xml:space="preserve">Demander aux élèves s’ils pensent qu’il y a des règlements municipaux s’appliquant aux spectacles de rue. Est-il possible de tenir ce type de spectacle n’importe où? Est-ce légal? À qui peut-on s’adresser pour se renseigner à ce sujet? </w:t>
            </w:r>
          </w:p>
          <w:p w14:paraId="69CCB01B" w14:textId="77777777" w:rsidR="00FE2517" w:rsidRPr="00FE2517" w:rsidRDefault="00FE2517" w:rsidP="00FE2517">
            <w:pPr>
              <w:pStyle w:val="Copy"/>
              <w:rPr>
                <w:lang w:bidi="fr-CA"/>
              </w:rPr>
            </w:pPr>
            <w:r w:rsidRPr="00FE2517">
              <w:rPr>
                <w:lang w:bidi="fr-CA"/>
              </w:rPr>
              <w:t>Obtenir des renseignements sur les permis auprès des autorités municipales. Expliquer aux élèves comment il faut procéder pour se procurer un permis de musicien de rue. Leur fournir entre autres les renseignements suivants :</w:t>
            </w:r>
          </w:p>
          <w:p w14:paraId="6C8CEE39" w14:textId="5BCC8542" w:rsidR="00FE2517" w:rsidRPr="00FE2517" w:rsidRDefault="00FE2517" w:rsidP="00FE2517">
            <w:pPr>
              <w:pStyle w:val="Bullet"/>
              <w:rPr>
                <w:lang w:bidi="fr-CA"/>
              </w:rPr>
            </w:pPr>
            <w:r w:rsidRPr="00FE2517">
              <w:rPr>
                <w:lang w:bidi="fr-CA"/>
              </w:rPr>
              <w:t>le nom et l’adresse du bureau qui délivre les permis;</w:t>
            </w:r>
          </w:p>
          <w:p w14:paraId="759BE88E" w14:textId="50211C01" w:rsidR="00FE2517" w:rsidRPr="00FE2517" w:rsidRDefault="00FE2517" w:rsidP="00FE2517">
            <w:pPr>
              <w:pStyle w:val="Bullet"/>
              <w:rPr>
                <w:lang w:bidi="fr-CA"/>
              </w:rPr>
            </w:pPr>
            <w:r w:rsidRPr="00FE2517">
              <w:rPr>
                <w:lang w:bidi="fr-CA"/>
              </w:rPr>
              <w:t xml:space="preserve">le prix des permis; </w:t>
            </w:r>
          </w:p>
          <w:p w14:paraId="7935867E" w14:textId="213C22D7" w:rsidR="00FE2517" w:rsidRPr="00FE2517" w:rsidRDefault="00FE2517" w:rsidP="00FE2517">
            <w:pPr>
              <w:pStyle w:val="Bullet"/>
              <w:rPr>
                <w:lang w:bidi="fr-CA"/>
              </w:rPr>
            </w:pPr>
            <w:r w:rsidRPr="00FE2517">
              <w:rPr>
                <w:lang w:bidi="fr-CA"/>
              </w:rPr>
              <w:t xml:space="preserve">les lieux où un musicien est autorisé à se produire s’il a un permis; </w:t>
            </w:r>
          </w:p>
          <w:p w14:paraId="5BA829FA" w14:textId="57822B6C" w:rsidR="00FE2517" w:rsidRPr="00FE2517" w:rsidRDefault="00FE2517" w:rsidP="00FE2517">
            <w:pPr>
              <w:pStyle w:val="Bullet"/>
              <w:rPr>
                <w:lang w:bidi="fr-CA"/>
              </w:rPr>
            </w:pPr>
            <w:r w:rsidRPr="00FE2517">
              <w:rPr>
                <w:lang w:bidi="fr-CA"/>
              </w:rPr>
              <w:t xml:space="preserve">l’âge minimum requis pour se procurer un permis. </w:t>
            </w:r>
          </w:p>
          <w:p w14:paraId="2BD360F4" w14:textId="2A93359A" w:rsidR="00FE2517" w:rsidRPr="00FE2517" w:rsidRDefault="00FE2517" w:rsidP="00FE2517">
            <w:pPr>
              <w:pStyle w:val="Copy"/>
              <w:rPr>
                <w:lang w:bidi="fr-CA"/>
              </w:rPr>
            </w:pPr>
            <w:r w:rsidRPr="00FE2517">
              <w:rPr>
                <w:lang w:bidi="fr-CA"/>
              </w:rPr>
              <w:t xml:space="preserve">Préparer des permis de musicien de rue (annexe B) et les faire signer par le directeur ou le directeur adjoint de l’école. </w:t>
            </w:r>
            <w:r w:rsidRPr="00FE2517">
              <w:rPr>
                <w:b/>
                <w:lang w:bidi="fr-CA"/>
              </w:rPr>
              <w:t>Remarque :</w:t>
            </w:r>
            <w:r w:rsidRPr="00FE2517">
              <w:rPr>
                <w:lang w:bidi="fr-CA"/>
              </w:rPr>
              <w:t xml:space="preserve"> Si des fonds sont recueillis dans le cadre du spectacle, l’argent devrait servir au financement d’une activité scolaire. </w:t>
            </w:r>
          </w:p>
          <w:p w14:paraId="673B2A2F" w14:textId="77777777" w:rsidR="00FE2517" w:rsidRPr="00FE2517" w:rsidRDefault="00FE2517" w:rsidP="00FE2517">
            <w:pPr>
              <w:pStyle w:val="Copy"/>
              <w:rPr>
                <w:lang w:bidi="fr-CA"/>
              </w:rPr>
            </w:pPr>
            <w:r w:rsidRPr="00FE2517">
              <w:rPr>
                <w:lang w:bidi="fr-CA"/>
              </w:rPr>
              <w:t xml:space="preserve">Susciter une discussion en posant les questions suivantes aux élèves : </w:t>
            </w:r>
          </w:p>
          <w:p w14:paraId="63CE3A18" w14:textId="6C7C0C9D" w:rsidR="00FE2517" w:rsidRPr="00FE2517" w:rsidRDefault="00FE2517" w:rsidP="00FE2517">
            <w:pPr>
              <w:pStyle w:val="NumberedList"/>
              <w:rPr>
                <w:lang w:bidi="fr-CA"/>
              </w:rPr>
            </w:pPr>
            <w:r w:rsidRPr="00FE2517">
              <w:rPr>
                <w:lang w:bidi="fr-CA"/>
              </w:rPr>
              <w:t xml:space="preserve">Pour organiser un spectacle de rue, que faut-il faire? </w:t>
            </w:r>
          </w:p>
          <w:p w14:paraId="79978F92" w14:textId="6DFCE1A9" w:rsidR="00FE2517" w:rsidRPr="00FE2517" w:rsidRDefault="00FE2517" w:rsidP="00FE2517">
            <w:pPr>
              <w:pStyle w:val="NumberedList"/>
              <w:rPr>
                <w:lang w:bidi="fr-CA"/>
              </w:rPr>
            </w:pPr>
            <w:r w:rsidRPr="00FE2517">
              <w:rPr>
                <w:lang w:bidi="fr-CA"/>
              </w:rPr>
              <w:t xml:space="preserve">Quels sont les avantages et les inconvénients que présentent les spectacles de rue en ce qui concerne les musiciens, les spectateurs et les collectivités? </w:t>
            </w:r>
          </w:p>
          <w:p w14:paraId="183CC411" w14:textId="196A0FB3" w:rsidR="00BA1E29" w:rsidRPr="00567ED8" w:rsidRDefault="00FE2517" w:rsidP="00FE2517">
            <w:pPr>
              <w:pStyle w:val="NumberedList"/>
            </w:pPr>
            <w:r w:rsidRPr="00FE2517">
              <w:rPr>
                <w:lang w:bidi="fr-CA"/>
              </w:rPr>
              <w:t>Quelles sont nos responsabilités individuelles et collectives relativement à l’utilisation de nos talents pour sensibiliser les gens ou pour recueillir des fonds dans notre communauté et dans notre société?</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E3A6C4E" w14:textId="0890D26D" w:rsidR="00BA1E29" w:rsidRPr="004365A8" w:rsidRDefault="00BA1E29" w:rsidP="00547017">
            <w:pPr>
              <w:pStyle w:val="Copy"/>
            </w:pPr>
          </w:p>
        </w:tc>
      </w:tr>
    </w:tbl>
    <w:p w14:paraId="051F9526" w14:textId="77777777" w:rsidR="001F0AE2" w:rsidRDefault="001F0AE2" w:rsidP="006D09DC">
      <w:pPr>
        <w:rPr>
          <w:rFonts w:ascii="Verdana" w:hAnsi="Verdana" w:cs="Arial"/>
          <w:sz w:val="36"/>
          <w:szCs w:val="36"/>
        </w:rPr>
      </w:pPr>
    </w:p>
    <w:p w14:paraId="27A98AEE" w14:textId="77777777" w:rsidR="001F0AE2" w:rsidRDefault="001F0AE2" w:rsidP="006D09DC">
      <w:pPr>
        <w:rPr>
          <w:rFonts w:ascii="Verdana" w:hAnsi="Verdana" w:cs="Arial"/>
          <w:sz w:val="36"/>
          <w:szCs w:val="36"/>
        </w:rPr>
        <w:sectPr w:rsidR="001F0AE2" w:rsidSect="00F61662">
          <w:headerReference w:type="default" r:id="rId12"/>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FE2517">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77FBA261" w:rsidR="00912080" w:rsidRPr="00FE2517" w:rsidRDefault="00FE2517" w:rsidP="007F52CD">
            <w:pPr>
              <w:pStyle w:val="AppendixName"/>
            </w:pPr>
            <w:r w:rsidRPr="00FE2517">
              <w:rPr>
                <w:lang w:bidi="fr-CA"/>
              </w:rPr>
              <w:t>Tableau de comparaison des lieux où peuvent se tenir les spectacles de rue</w:t>
            </w:r>
          </w:p>
        </w:tc>
      </w:tr>
      <w:tr w:rsidR="00912080" w14:paraId="76CAD30A" w14:textId="77777777" w:rsidTr="00FE2517">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Borders>
                <w:top w:val="single" w:sz="4" w:space="0" w:color="3F708E"/>
                <w:left w:val="single" w:sz="4" w:space="0" w:color="3F708E"/>
                <w:bottom w:val="single" w:sz="4" w:space="0" w:color="3F708E"/>
                <w:right w:val="single" w:sz="4" w:space="0" w:color="3F708E"/>
                <w:insideH w:val="single" w:sz="4" w:space="0" w:color="3F708E"/>
                <w:insideV w:val="single" w:sz="4" w:space="0" w:color="3F708E"/>
              </w:tblBorders>
              <w:tblLook w:val="04A0" w:firstRow="1" w:lastRow="0" w:firstColumn="1" w:lastColumn="0" w:noHBand="0" w:noVBand="1"/>
            </w:tblPr>
            <w:tblGrid>
              <w:gridCol w:w="2952"/>
              <w:gridCol w:w="1834"/>
              <w:gridCol w:w="1816"/>
              <w:gridCol w:w="3650"/>
            </w:tblGrid>
            <w:tr w:rsidR="00FE2517" w:rsidRPr="00991485" w14:paraId="4E8E6B74" w14:textId="77777777" w:rsidTr="00FE2517">
              <w:trPr>
                <w:trHeight w:val="720"/>
              </w:trPr>
              <w:tc>
                <w:tcPr>
                  <w:tcW w:w="4786" w:type="dxa"/>
                  <w:gridSpan w:val="2"/>
                  <w:shd w:val="clear" w:color="auto" w:fill="3F708E"/>
                  <w:vAlign w:val="center"/>
                </w:tcPr>
                <w:p w14:paraId="77514B85" w14:textId="7E265050" w:rsidR="00FE2517" w:rsidRPr="00991485" w:rsidRDefault="00FE2517" w:rsidP="00FE2517">
                  <w:pPr>
                    <w:pStyle w:val="ChartHeading"/>
                  </w:pPr>
                  <w:r>
                    <w:t xml:space="preserve">Quelles sont les caractéristiques d’un lieu idéal pour un spectacle de rue? </w:t>
                  </w:r>
                </w:p>
              </w:tc>
              <w:tc>
                <w:tcPr>
                  <w:tcW w:w="5466" w:type="dxa"/>
                  <w:gridSpan w:val="2"/>
                  <w:shd w:val="clear" w:color="auto" w:fill="3F708E"/>
                  <w:vAlign w:val="center"/>
                </w:tcPr>
                <w:p w14:paraId="01FFD4AC" w14:textId="2FD4C4E5" w:rsidR="00FE2517" w:rsidRPr="00991485" w:rsidRDefault="00FE2517" w:rsidP="00FE2517">
                  <w:pPr>
                    <w:pStyle w:val="ChartHeading"/>
                  </w:pPr>
                  <w:r>
                    <w:t xml:space="preserve">Quelles sont les caractéristiques d’un lieu inapproprié pour un spectacle de rue? </w:t>
                  </w:r>
                </w:p>
              </w:tc>
            </w:tr>
            <w:tr w:rsidR="007F52CD" w:rsidRPr="00991485" w14:paraId="5F922A26" w14:textId="77777777" w:rsidTr="00FE2517">
              <w:trPr>
                <w:trHeight w:val="1008"/>
              </w:trPr>
              <w:tc>
                <w:tcPr>
                  <w:tcW w:w="4786" w:type="dxa"/>
                  <w:gridSpan w:val="2"/>
                </w:tcPr>
                <w:p w14:paraId="3CB6437E" w14:textId="77777777" w:rsidR="007F52CD" w:rsidRPr="00991485" w:rsidRDefault="007F52CD" w:rsidP="00606B2D">
                  <w:pPr>
                    <w:pStyle w:val="Copy"/>
                  </w:pPr>
                </w:p>
              </w:tc>
              <w:tc>
                <w:tcPr>
                  <w:tcW w:w="5466" w:type="dxa"/>
                  <w:gridSpan w:val="2"/>
                </w:tcPr>
                <w:p w14:paraId="3747FBC3" w14:textId="77777777" w:rsidR="007F52CD" w:rsidRPr="00991485" w:rsidRDefault="007F52CD" w:rsidP="00606B2D">
                  <w:pPr>
                    <w:pStyle w:val="Copy"/>
                  </w:pPr>
                </w:p>
              </w:tc>
            </w:tr>
            <w:tr w:rsidR="007F52CD" w:rsidRPr="00991485" w14:paraId="033EB515" w14:textId="77777777" w:rsidTr="00FE2517">
              <w:trPr>
                <w:trHeight w:val="1008"/>
              </w:trPr>
              <w:tc>
                <w:tcPr>
                  <w:tcW w:w="2952" w:type="dxa"/>
                  <w:shd w:val="clear" w:color="auto" w:fill="E0F2F8"/>
                </w:tcPr>
                <w:p w14:paraId="0567EA7F" w14:textId="77777777" w:rsidR="007F52CD" w:rsidRPr="00991485" w:rsidRDefault="007F52CD" w:rsidP="00606B2D">
                  <w:pPr>
                    <w:pStyle w:val="Copy"/>
                  </w:pPr>
                </w:p>
              </w:tc>
              <w:tc>
                <w:tcPr>
                  <w:tcW w:w="3650" w:type="dxa"/>
                  <w:gridSpan w:val="2"/>
                  <w:shd w:val="clear" w:color="auto" w:fill="E0F2F8"/>
                  <w:vAlign w:val="center"/>
                </w:tcPr>
                <w:p w14:paraId="7E9BB2D2" w14:textId="083FC1AD" w:rsidR="007F52CD" w:rsidRPr="00991485" w:rsidRDefault="00FE2517" w:rsidP="00606B2D">
                  <w:pPr>
                    <w:pStyle w:val="Copy"/>
                    <w:rPr>
                      <w:rFonts w:cs="Gotham Light"/>
                      <w:color w:val="000000"/>
                    </w:rPr>
                  </w:pPr>
                  <w:r w:rsidRPr="00FE2517">
                    <w:rPr>
                      <w:rFonts w:cs="Gotham Light"/>
                      <w:color w:val="000000"/>
                      <w:lang w:bidi="fr-CA"/>
                    </w:rPr>
                    <w:t>Lieu n</w:t>
                  </w:r>
                  <w:r w:rsidRPr="00FE2517">
                    <w:rPr>
                      <w:rFonts w:cs="Gotham Light"/>
                      <w:color w:val="000000"/>
                      <w:vertAlign w:val="superscript"/>
                      <w:lang w:bidi="fr-CA"/>
                    </w:rPr>
                    <w:t>o</w:t>
                  </w:r>
                  <w:r w:rsidRPr="00FE2517">
                    <w:rPr>
                      <w:rFonts w:cs="Gotham Light"/>
                      <w:color w:val="000000"/>
                      <w:lang w:bidi="fr-CA"/>
                    </w:rPr>
                    <w:t xml:space="preserve"> 1 </w:t>
                  </w:r>
                  <w:r w:rsidR="007F52CD" w:rsidRPr="00991485">
                    <w:rPr>
                      <w:rFonts w:cs="Gotham Light"/>
                      <w:color w:val="000000"/>
                    </w:rPr>
                    <w:t xml:space="preserve"> </w:t>
                  </w:r>
                </w:p>
                <w:p w14:paraId="3AA0C60A" w14:textId="0E013614" w:rsidR="007F52CD" w:rsidRPr="00991485" w:rsidRDefault="007F52CD" w:rsidP="00606B2D">
                  <w:pPr>
                    <w:pStyle w:val="AppendixLine"/>
                  </w:pPr>
                  <w:r w:rsidRPr="00991485">
                    <w:t>___________________________</w:t>
                  </w:r>
                </w:p>
              </w:tc>
              <w:tc>
                <w:tcPr>
                  <w:tcW w:w="3650" w:type="dxa"/>
                  <w:shd w:val="clear" w:color="auto" w:fill="E0F2F8"/>
                  <w:vAlign w:val="center"/>
                </w:tcPr>
                <w:p w14:paraId="44DA3A36" w14:textId="25491DE8" w:rsidR="007F52CD" w:rsidRPr="00991485" w:rsidRDefault="00FE2517" w:rsidP="00606B2D">
                  <w:pPr>
                    <w:pStyle w:val="Copy"/>
                    <w:rPr>
                      <w:rFonts w:cs="Gotham Light"/>
                      <w:color w:val="000000"/>
                    </w:rPr>
                  </w:pPr>
                  <w:r w:rsidRPr="00FE2517">
                    <w:rPr>
                      <w:rFonts w:cs="Gotham Light"/>
                      <w:color w:val="000000"/>
                      <w:lang w:bidi="fr-CA"/>
                    </w:rPr>
                    <w:t>Lieu n</w:t>
                  </w:r>
                  <w:r w:rsidRPr="00FE2517">
                    <w:rPr>
                      <w:rFonts w:cs="Gotham Light"/>
                      <w:color w:val="000000"/>
                      <w:vertAlign w:val="superscript"/>
                      <w:lang w:bidi="fr-CA"/>
                    </w:rPr>
                    <w:t>o</w:t>
                  </w:r>
                  <w:r w:rsidR="007F52CD" w:rsidRPr="00991485">
                    <w:rPr>
                      <w:rFonts w:cs="Gotham Light"/>
                      <w:color w:val="000000"/>
                    </w:rPr>
                    <w:t xml:space="preserve"> 2 </w:t>
                  </w:r>
                </w:p>
                <w:p w14:paraId="7D92C93A" w14:textId="5F845ED4" w:rsidR="007F52CD" w:rsidRPr="00991485" w:rsidRDefault="007F52CD" w:rsidP="00606B2D">
                  <w:pPr>
                    <w:pStyle w:val="AppendixLine"/>
                  </w:pPr>
                  <w:r w:rsidRPr="00991485">
                    <w:t>___________________________</w:t>
                  </w:r>
                </w:p>
              </w:tc>
            </w:tr>
            <w:tr w:rsidR="00FE2517" w:rsidRPr="00991485" w14:paraId="0146FD03" w14:textId="77777777" w:rsidTr="00FE2517">
              <w:trPr>
                <w:trHeight w:val="864"/>
              </w:trPr>
              <w:tc>
                <w:tcPr>
                  <w:tcW w:w="2952" w:type="dxa"/>
                  <w:shd w:val="clear" w:color="auto" w:fill="DEDFDE"/>
                  <w:vAlign w:val="center"/>
                </w:tcPr>
                <w:p w14:paraId="722B8B28" w14:textId="598CC874" w:rsidR="00FE2517" w:rsidRPr="00606B2D" w:rsidRDefault="00FE2517" w:rsidP="00FE2517">
                  <w:pPr>
                    <w:pStyle w:val="IntroCopy"/>
                  </w:pPr>
                  <w:r>
                    <w:t>Description du lieu</w:t>
                  </w:r>
                </w:p>
              </w:tc>
              <w:tc>
                <w:tcPr>
                  <w:tcW w:w="3650" w:type="dxa"/>
                  <w:gridSpan w:val="2"/>
                </w:tcPr>
                <w:p w14:paraId="0B86787E" w14:textId="77777777" w:rsidR="00FE2517" w:rsidRPr="00991485" w:rsidRDefault="00FE2517" w:rsidP="00606B2D">
                  <w:pPr>
                    <w:pStyle w:val="Copy"/>
                  </w:pPr>
                </w:p>
              </w:tc>
              <w:tc>
                <w:tcPr>
                  <w:tcW w:w="3650" w:type="dxa"/>
                </w:tcPr>
                <w:p w14:paraId="40C93019" w14:textId="77777777" w:rsidR="00FE2517" w:rsidRPr="00991485" w:rsidRDefault="00FE2517" w:rsidP="00606B2D">
                  <w:pPr>
                    <w:pStyle w:val="Copy"/>
                  </w:pPr>
                </w:p>
              </w:tc>
            </w:tr>
            <w:tr w:rsidR="00FE2517" w:rsidRPr="00991485" w14:paraId="7DFBF5EB" w14:textId="77777777" w:rsidTr="00FE2517">
              <w:trPr>
                <w:trHeight w:val="936"/>
              </w:trPr>
              <w:tc>
                <w:tcPr>
                  <w:tcW w:w="2952" w:type="dxa"/>
                  <w:shd w:val="clear" w:color="auto" w:fill="DEDFDE"/>
                  <w:vAlign w:val="center"/>
                </w:tcPr>
                <w:p w14:paraId="39A70379" w14:textId="6951C3A8" w:rsidR="00FE2517" w:rsidRPr="00606B2D" w:rsidRDefault="00FE2517" w:rsidP="00FE2517">
                  <w:pPr>
                    <w:pStyle w:val="IntroCopy"/>
                  </w:pPr>
                  <w:r>
                    <w:t xml:space="preserve">Matériel nécessaire pour préparer le lieu </w:t>
                  </w:r>
                </w:p>
              </w:tc>
              <w:tc>
                <w:tcPr>
                  <w:tcW w:w="3650" w:type="dxa"/>
                  <w:gridSpan w:val="2"/>
                </w:tcPr>
                <w:p w14:paraId="573D03D9" w14:textId="77777777" w:rsidR="00FE2517" w:rsidRPr="00991485" w:rsidRDefault="00FE2517" w:rsidP="00606B2D">
                  <w:pPr>
                    <w:pStyle w:val="Copy"/>
                  </w:pPr>
                </w:p>
              </w:tc>
              <w:tc>
                <w:tcPr>
                  <w:tcW w:w="3650" w:type="dxa"/>
                </w:tcPr>
                <w:p w14:paraId="5AC9778B" w14:textId="77777777" w:rsidR="00FE2517" w:rsidRPr="00991485" w:rsidRDefault="00FE2517" w:rsidP="00606B2D">
                  <w:pPr>
                    <w:pStyle w:val="Copy"/>
                  </w:pPr>
                </w:p>
              </w:tc>
            </w:tr>
            <w:tr w:rsidR="00FE2517" w:rsidRPr="00991485" w14:paraId="3B907A55" w14:textId="77777777" w:rsidTr="00FE2517">
              <w:trPr>
                <w:trHeight w:val="864"/>
              </w:trPr>
              <w:tc>
                <w:tcPr>
                  <w:tcW w:w="2952" w:type="dxa"/>
                  <w:shd w:val="clear" w:color="auto" w:fill="DEDFDE"/>
                  <w:vAlign w:val="center"/>
                </w:tcPr>
                <w:p w14:paraId="1E605C17" w14:textId="28FA1AF4" w:rsidR="00FE2517" w:rsidRPr="00606B2D" w:rsidRDefault="00FE2517" w:rsidP="00FE2517">
                  <w:pPr>
                    <w:pStyle w:val="IntroCopy"/>
                  </w:pPr>
                  <w:r>
                    <w:t xml:space="preserve">Qualité de l’acoustique </w:t>
                  </w:r>
                </w:p>
              </w:tc>
              <w:tc>
                <w:tcPr>
                  <w:tcW w:w="3650" w:type="dxa"/>
                  <w:gridSpan w:val="2"/>
                </w:tcPr>
                <w:p w14:paraId="71B991AE" w14:textId="77777777" w:rsidR="00FE2517" w:rsidRPr="00991485" w:rsidRDefault="00FE2517" w:rsidP="00606B2D">
                  <w:pPr>
                    <w:pStyle w:val="Copy"/>
                  </w:pPr>
                </w:p>
              </w:tc>
              <w:tc>
                <w:tcPr>
                  <w:tcW w:w="3650" w:type="dxa"/>
                </w:tcPr>
                <w:p w14:paraId="7716AA4E" w14:textId="77777777" w:rsidR="00FE2517" w:rsidRPr="00991485" w:rsidRDefault="00FE2517" w:rsidP="00606B2D">
                  <w:pPr>
                    <w:pStyle w:val="Copy"/>
                  </w:pPr>
                </w:p>
              </w:tc>
            </w:tr>
            <w:tr w:rsidR="00FE2517" w:rsidRPr="00991485" w14:paraId="1C84AAB2" w14:textId="77777777" w:rsidTr="00FE2517">
              <w:trPr>
                <w:trHeight w:val="864"/>
              </w:trPr>
              <w:tc>
                <w:tcPr>
                  <w:tcW w:w="2952" w:type="dxa"/>
                  <w:shd w:val="clear" w:color="auto" w:fill="DEDFDE"/>
                  <w:vAlign w:val="center"/>
                </w:tcPr>
                <w:p w14:paraId="7E804745" w14:textId="0409D54A" w:rsidR="00FE2517" w:rsidRPr="00606B2D" w:rsidRDefault="00FE2517" w:rsidP="00FE2517">
                  <w:pPr>
                    <w:pStyle w:val="IntroCopy"/>
                  </w:pPr>
                  <w:r>
                    <w:t xml:space="preserve">Achalandage </w:t>
                  </w:r>
                </w:p>
              </w:tc>
              <w:tc>
                <w:tcPr>
                  <w:tcW w:w="3650" w:type="dxa"/>
                  <w:gridSpan w:val="2"/>
                </w:tcPr>
                <w:p w14:paraId="1A3B25F1" w14:textId="77777777" w:rsidR="00FE2517" w:rsidRPr="00991485" w:rsidRDefault="00FE2517" w:rsidP="00606B2D">
                  <w:pPr>
                    <w:pStyle w:val="Copy"/>
                  </w:pPr>
                </w:p>
              </w:tc>
              <w:tc>
                <w:tcPr>
                  <w:tcW w:w="3650" w:type="dxa"/>
                </w:tcPr>
                <w:p w14:paraId="6A2B5C66" w14:textId="77777777" w:rsidR="00FE2517" w:rsidRPr="00991485" w:rsidRDefault="00FE2517" w:rsidP="00606B2D">
                  <w:pPr>
                    <w:pStyle w:val="Copy"/>
                  </w:pPr>
                </w:p>
              </w:tc>
            </w:tr>
            <w:tr w:rsidR="00FE2517" w:rsidRPr="00991485" w14:paraId="2F30EFCE" w14:textId="77777777" w:rsidTr="00FE2517">
              <w:trPr>
                <w:trHeight w:val="936"/>
              </w:trPr>
              <w:tc>
                <w:tcPr>
                  <w:tcW w:w="2952" w:type="dxa"/>
                  <w:shd w:val="clear" w:color="auto" w:fill="DEDFDE"/>
                  <w:vAlign w:val="center"/>
                </w:tcPr>
                <w:p w14:paraId="3EBE294D" w14:textId="55FA4FE7" w:rsidR="00FE2517" w:rsidRPr="00606B2D" w:rsidRDefault="00FE2517" w:rsidP="00FE2517">
                  <w:pPr>
                    <w:pStyle w:val="IntroCopy"/>
                  </w:pPr>
                  <w:r>
                    <w:t xml:space="preserve">Qu’est-ce qui rend ce lieu intéressant? </w:t>
                  </w:r>
                </w:p>
              </w:tc>
              <w:tc>
                <w:tcPr>
                  <w:tcW w:w="3650" w:type="dxa"/>
                  <w:gridSpan w:val="2"/>
                </w:tcPr>
                <w:p w14:paraId="204338A1" w14:textId="77777777" w:rsidR="00FE2517" w:rsidRPr="00991485" w:rsidRDefault="00FE2517" w:rsidP="00606B2D">
                  <w:pPr>
                    <w:pStyle w:val="Copy"/>
                  </w:pPr>
                </w:p>
              </w:tc>
              <w:tc>
                <w:tcPr>
                  <w:tcW w:w="3650" w:type="dxa"/>
                </w:tcPr>
                <w:p w14:paraId="4DE0412B" w14:textId="77777777" w:rsidR="00FE2517" w:rsidRPr="00991485" w:rsidRDefault="00FE2517" w:rsidP="00606B2D">
                  <w:pPr>
                    <w:pStyle w:val="Copy"/>
                  </w:pPr>
                </w:p>
              </w:tc>
            </w:tr>
            <w:tr w:rsidR="00FE2517" w:rsidRPr="00991485" w14:paraId="4C45FEB0" w14:textId="77777777" w:rsidTr="00FE2517">
              <w:trPr>
                <w:trHeight w:val="936"/>
              </w:trPr>
              <w:tc>
                <w:tcPr>
                  <w:tcW w:w="2952" w:type="dxa"/>
                  <w:shd w:val="clear" w:color="auto" w:fill="DEDFDE"/>
                  <w:vAlign w:val="center"/>
                </w:tcPr>
                <w:p w14:paraId="5C36A9C6" w14:textId="4A27656B" w:rsidR="00FE2517" w:rsidRPr="00606B2D" w:rsidRDefault="00FE2517" w:rsidP="00FE2517">
                  <w:pPr>
                    <w:pStyle w:val="IntroCopy"/>
                  </w:pPr>
                  <w:r>
                    <w:t xml:space="preserve">Qu’est-ce qui ferait de cet endroit le lieu idéal? </w:t>
                  </w:r>
                </w:p>
              </w:tc>
              <w:tc>
                <w:tcPr>
                  <w:tcW w:w="3650" w:type="dxa"/>
                  <w:gridSpan w:val="2"/>
                </w:tcPr>
                <w:p w14:paraId="381C0359" w14:textId="77777777" w:rsidR="00FE2517" w:rsidRPr="00991485" w:rsidRDefault="00FE2517" w:rsidP="00606B2D">
                  <w:pPr>
                    <w:pStyle w:val="Copy"/>
                  </w:pPr>
                </w:p>
              </w:tc>
              <w:tc>
                <w:tcPr>
                  <w:tcW w:w="3650" w:type="dxa"/>
                </w:tcPr>
                <w:p w14:paraId="25B92ED2" w14:textId="77777777" w:rsidR="00FE2517" w:rsidRPr="00991485" w:rsidRDefault="00FE2517" w:rsidP="00606B2D">
                  <w:pPr>
                    <w:pStyle w:val="Copy"/>
                  </w:pPr>
                </w:p>
              </w:tc>
            </w:tr>
            <w:tr w:rsidR="00FE2517" w:rsidRPr="00991485" w14:paraId="76331001" w14:textId="77777777" w:rsidTr="00FE2517">
              <w:trPr>
                <w:trHeight w:val="1008"/>
              </w:trPr>
              <w:tc>
                <w:tcPr>
                  <w:tcW w:w="2952" w:type="dxa"/>
                  <w:shd w:val="clear" w:color="auto" w:fill="DEDFDE"/>
                  <w:vAlign w:val="center"/>
                </w:tcPr>
                <w:p w14:paraId="2988B2B3" w14:textId="6A4C60C8" w:rsidR="00FE2517" w:rsidRPr="00606B2D" w:rsidRDefault="00FE2517" w:rsidP="00FE2517">
                  <w:pPr>
                    <w:pStyle w:val="IntroCopy"/>
                  </w:pPr>
                  <w:r>
                    <w:t xml:space="preserve">Quelle serait la façon la plus sûre de recueillir l’argent? </w:t>
                  </w:r>
                </w:p>
              </w:tc>
              <w:tc>
                <w:tcPr>
                  <w:tcW w:w="3650" w:type="dxa"/>
                  <w:gridSpan w:val="2"/>
                </w:tcPr>
                <w:p w14:paraId="7C3C3824" w14:textId="77777777" w:rsidR="00FE2517" w:rsidRPr="00991485" w:rsidRDefault="00FE2517" w:rsidP="00606B2D">
                  <w:pPr>
                    <w:pStyle w:val="Copy"/>
                  </w:pPr>
                </w:p>
              </w:tc>
              <w:tc>
                <w:tcPr>
                  <w:tcW w:w="3650" w:type="dxa"/>
                </w:tcPr>
                <w:p w14:paraId="2D42C958" w14:textId="77777777" w:rsidR="00FE2517" w:rsidRPr="00991485" w:rsidRDefault="00FE2517" w:rsidP="00606B2D">
                  <w:pPr>
                    <w:pStyle w:val="Copy"/>
                  </w:pPr>
                </w:p>
              </w:tc>
            </w:tr>
            <w:tr w:rsidR="00FE2517" w:rsidRPr="00991485" w14:paraId="16F05BAC" w14:textId="77777777" w:rsidTr="00FE2517">
              <w:trPr>
                <w:trHeight w:val="1152"/>
              </w:trPr>
              <w:tc>
                <w:tcPr>
                  <w:tcW w:w="2952" w:type="dxa"/>
                  <w:shd w:val="clear" w:color="auto" w:fill="DEDFDE"/>
                  <w:vAlign w:val="center"/>
                </w:tcPr>
                <w:p w14:paraId="262600A1" w14:textId="53D2FD32" w:rsidR="00FE2517" w:rsidRPr="00606B2D" w:rsidRDefault="00FE2517" w:rsidP="00FE2517">
                  <w:pPr>
                    <w:pStyle w:val="IntroCopy"/>
                  </w:pPr>
                  <w:r>
                    <w:t xml:space="preserve">Qui devrait se charger de compter les pièces de monnaie et où l’argent devrait-il être conservé? </w:t>
                  </w:r>
                </w:p>
              </w:tc>
              <w:tc>
                <w:tcPr>
                  <w:tcW w:w="3650" w:type="dxa"/>
                  <w:gridSpan w:val="2"/>
                </w:tcPr>
                <w:p w14:paraId="1AF2F862" w14:textId="77777777" w:rsidR="00FE2517" w:rsidRPr="00991485" w:rsidRDefault="00FE2517" w:rsidP="00606B2D">
                  <w:pPr>
                    <w:pStyle w:val="Copy"/>
                  </w:pPr>
                </w:p>
              </w:tc>
              <w:tc>
                <w:tcPr>
                  <w:tcW w:w="3650" w:type="dxa"/>
                </w:tcPr>
                <w:p w14:paraId="762F7D8C" w14:textId="77777777" w:rsidR="00FE2517" w:rsidRPr="00991485" w:rsidRDefault="00FE2517" w:rsidP="00606B2D">
                  <w:pPr>
                    <w:pStyle w:val="Copy"/>
                  </w:pPr>
                </w:p>
              </w:tc>
            </w:tr>
          </w:tbl>
          <w:p w14:paraId="36E12811" w14:textId="3C1294C1" w:rsidR="00912080" w:rsidRDefault="00912080" w:rsidP="00606B2D">
            <w:pPr>
              <w:pStyle w:val="Copy"/>
            </w:pPr>
          </w:p>
        </w:tc>
      </w:tr>
    </w:tbl>
    <w:p w14:paraId="5E0F0FAE" w14:textId="4225969F" w:rsidR="00906E2E" w:rsidRDefault="00906E2E" w:rsidP="00606B2D">
      <w:pPr>
        <w:pStyle w:val="Copy"/>
        <w:rPr>
          <w:sz w:val="36"/>
          <w:szCs w:val="36"/>
        </w:rPr>
      </w:pPr>
      <w:r>
        <w:rPr>
          <w:noProof/>
          <w:color w:val="FFFFFF" w:themeColor="background1"/>
          <w:sz w:val="36"/>
          <w:szCs w:val="36"/>
          <w:lang w:val="en-US"/>
        </w:rPr>
        <mc:AlternateContent>
          <mc:Choice Requires="wps">
            <w:drawing>
              <wp:anchor distT="0" distB="0" distL="114300" distR="114300" simplePos="0" relativeHeight="251661312" behindDoc="0" locked="0" layoutInCell="1" allowOverlap="1" wp14:anchorId="0C9E06D7" wp14:editId="371029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49B793BB"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A</w:t>
                            </w:r>
                            <w:r w:rsidR="00FE2517">
                              <w:rPr>
                                <w:rFonts w:ascii="Verdana" w:hAnsi="Verdana"/>
                                <w:b/>
                                <w:color w:val="54B948"/>
                                <w:sz w:val="26"/>
                                <w:szCs w:val="26"/>
                                <w:lang w:val="en-CA"/>
                              </w:rPr>
                              <w:t>NNEXE</w:t>
                            </w:r>
                            <w:r>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49B793BB"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A</w:t>
                      </w:r>
                      <w:r w:rsidR="00FE2517">
                        <w:rPr>
                          <w:rFonts w:ascii="Verdana" w:hAnsi="Verdana"/>
                          <w:b/>
                          <w:color w:val="54B948"/>
                          <w:sz w:val="26"/>
                          <w:szCs w:val="26"/>
                          <w:lang w:val="en-CA"/>
                        </w:rPr>
                        <w:t>NNEXE</w:t>
                      </w:r>
                      <w:r>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37002EB" w:rsidR="0024470B" w:rsidRPr="00ED7BE9" w:rsidRDefault="008426CE" w:rsidP="003D1C7A">
            <w:pPr>
              <w:pStyle w:val="AppendixName"/>
            </w:pPr>
            <w:r w:rsidRPr="008426CE">
              <w:rPr>
                <w:lang w:bidi="fr-CA"/>
              </w:rPr>
              <w:t>Permis de musicien de rue</w:t>
            </w:r>
          </w:p>
        </w:tc>
      </w:tr>
      <w:tr w:rsidR="000E4B52"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EA232E8" w14:textId="3B7AE3BE" w:rsidR="001E6E1B" w:rsidRDefault="00744FBC" w:rsidP="001E6E1B">
            <w:pPr>
              <w:pStyle w:val="AppendixLine"/>
            </w:pPr>
            <w:r>
              <w:rPr>
                <w:noProof/>
                <w:lang w:val="en-US"/>
              </w:rPr>
              <w:drawing>
                <wp:anchor distT="0" distB="0" distL="114300" distR="114300" simplePos="0" relativeHeight="251705344" behindDoc="0" locked="0" layoutInCell="1" allowOverlap="1" wp14:anchorId="747FB508" wp14:editId="20FF9F24">
                  <wp:simplePos x="0" y="0"/>
                  <wp:positionH relativeFrom="column">
                    <wp:posOffset>-31750</wp:posOffset>
                  </wp:positionH>
                  <wp:positionV relativeFrom="paragraph">
                    <wp:posOffset>-59055</wp:posOffset>
                  </wp:positionV>
                  <wp:extent cx="6580064" cy="699192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uskerfest_Permits_Fr.jpg"/>
                          <pic:cNvPicPr/>
                        </pic:nvPicPr>
                        <pic:blipFill>
                          <a:blip r:embed="rId13">
                            <a:extLst>
                              <a:ext uri="{28A0092B-C50C-407E-A947-70E740481C1C}">
                                <a14:useLocalDpi xmlns:a14="http://schemas.microsoft.com/office/drawing/2010/main" val="0"/>
                              </a:ext>
                            </a:extLst>
                          </a:blip>
                          <a:stretch>
                            <a:fillRect/>
                          </a:stretch>
                        </pic:blipFill>
                        <pic:spPr>
                          <a:xfrm>
                            <a:off x="0" y="0"/>
                            <a:ext cx="6581702" cy="6993668"/>
                          </a:xfrm>
                          <a:prstGeom prst="rect">
                            <a:avLst/>
                          </a:prstGeom>
                        </pic:spPr>
                      </pic:pic>
                    </a:graphicData>
                  </a:graphic>
                  <wp14:sizeRelH relativeFrom="margin">
                    <wp14:pctWidth>0</wp14:pctWidth>
                  </wp14:sizeRelH>
                  <wp14:sizeRelV relativeFrom="margin">
                    <wp14:pctHeight>0</wp14:pctHeight>
                  </wp14:sizeRelV>
                </wp:anchor>
              </w:drawing>
            </w:r>
          </w:p>
        </w:tc>
      </w:tr>
    </w:tbl>
    <w:p w14:paraId="0ADFC4AC" w14:textId="34B641B5" w:rsidR="00577745" w:rsidRPr="00577745" w:rsidRDefault="007B54C8" w:rsidP="001E6E1B">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253147A7" w:rsidR="007B54C8" w:rsidRPr="00ED7BE9" w:rsidRDefault="00FE2517" w:rsidP="007B54C8">
                            <w:pPr>
                              <w:rPr>
                                <w:rFonts w:ascii="Verdana" w:hAnsi="Verdana"/>
                                <w:b/>
                                <w:color w:val="54B948"/>
                                <w:sz w:val="26"/>
                                <w:szCs w:val="26"/>
                                <w:lang w:val="en-CA"/>
                              </w:rPr>
                            </w:pPr>
                            <w:r>
                              <w:rPr>
                                <w:rFonts w:ascii="Verdana" w:hAnsi="Verdana"/>
                                <w:b/>
                                <w:color w:val="54B948"/>
                                <w:sz w:val="26"/>
                                <w:szCs w:val="26"/>
                                <w:lang w:val="en-CA"/>
                              </w:rPr>
                              <w:t xml:space="preserve">ANNEXE </w:t>
                            </w:r>
                            <w:r w:rsidR="003D1C7A">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27"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" filled="f" stroked="f">
                <v:textbox>
                  <w:txbxContent>
                    <w:p w14:paraId="7C8D6017" w14:textId="253147A7" w:rsidR="007B54C8" w:rsidRPr="00ED7BE9" w:rsidRDefault="00FE2517" w:rsidP="007B54C8">
                      <w:pPr>
                        <w:rPr>
                          <w:rFonts w:ascii="Verdana" w:hAnsi="Verdana"/>
                          <w:b/>
                          <w:color w:val="54B948"/>
                          <w:sz w:val="26"/>
                          <w:szCs w:val="26"/>
                          <w:lang w:val="en-CA"/>
                        </w:rPr>
                      </w:pPr>
                      <w:r>
                        <w:rPr>
                          <w:rFonts w:ascii="Verdana" w:hAnsi="Verdana"/>
                          <w:b/>
                          <w:color w:val="54B948"/>
                          <w:sz w:val="26"/>
                          <w:szCs w:val="26"/>
                          <w:lang w:val="en-CA"/>
                        </w:rPr>
                        <w:t xml:space="preserve">ANNEXE </w:t>
                      </w:r>
                      <w:r w:rsidR="003D1C7A">
                        <w:rPr>
                          <w:rFonts w:ascii="Verdana" w:hAnsi="Verdana"/>
                          <w:b/>
                          <w:color w:val="54B948"/>
                          <w:sz w:val="26"/>
                          <w:szCs w:val="26"/>
                          <w:lang w:val="en-CA"/>
                        </w:rPr>
                        <w:t>B</w:t>
                      </w:r>
                    </w:p>
                  </w:txbxContent>
                </v:textbox>
                <w10:wrap anchory="page"/>
              </v:shape>
            </w:pict>
          </mc:Fallback>
        </mc:AlternateContent>
      </w:r>
    </w:p>
    <w:sectPr w:rsidR="00577745" w:rsidRPr="00577745" w:rsidSect="00F61662">
      <w:headerReference w:type="default" r:id="rId14"/>
      <w:footerReference w:type="default" r:id="rId15"/>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ECD11" w14:textId="77777777" w:rsidR="003C2040" w:rsidRDefault="003C2040" w:rsidP="000219F5">
      <w:r>
        <w:separator/>
      </w:r>
    </w:p>
  </w:endnote>
  <w:endnote w:type="continuationSeparator" w:id="0">
    <w:p w14:paraId="5967190F" w14:textId="77777777" w:rsidR="003C2040" w:rsidRDefault="003C2040"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3C2040">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56279">
      <w:rPr>
        <w:rStyle w:val="PageNumber"/>
        <w:rFonts w:ascii="Verdana" w:hAnsi="Verdana" w:cs="Arial"/>
        <w:b/>
        <w:noProof/>
        <w:color w:val="FFFFFF" w:themeColor="background1"/>
        <w:sz w:val="20"/>
        <w:szCs w:val="20"/>
      </w:rPr>
      <w:t>6</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D7A2E" w14:textId="77777777" w:rsidR="003C2040" w:rsidRDefault="003C2040" w:rsidP="000219F5">
      <w:r>
        <w:separator/>
      </w:r>
    </w:p>
  </w:footnote>
  <w:footnote w:type="continuationSeparator" w:id="0">
    <w:p w14:paraId="123AB46A" w14:textId="77777777" w:rsidR="003C2040" w:rsidRDefault="003C2040"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3C074B6F" w:rsidR="00F61662" w:rsidRPr="00872DBF" w:rsidRDefault="00AB7C10" w:rsidP="00AB7C10">
                          <w:pPr>
                            <w:pStyle w:val="Heading"/>
                            <w:rPr>
                              <w:lang w:bidi="fr-CA"/>
                            </w:rPr>
                          </w:pPr>
                          <w:r w:rsidRPr="00AB7C10">
                            <w:rPr>
                              <w:lang w:bidi="fr-CA"/>
                            </w:rPr>
                            <w:t>Festival de 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8"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3C074B6F" w:rsidR="00F61662" w:rsidRPr="00872DBF" w:rsidRDefault="00AB7C10" w:rsidP="00AB7C10">
                    <w:pPr>
                      <w:pStyle w:val="Heading"/>
                      <w:rPr>
                        <w:lang w:bidi="fr-CA"/>
                      </w:rPr>
                    </w:pPr>
                    <w:r w:rsidRPr="00AB7C10">
                      <w:rPr>
                        <w:lang w:bidi="fr-CA"/>
                      </w:rPr>
                      <w:t>Festival de rue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34DE0EAA" w:rsidR="00611A6A" w:rsidRPr="00872DBF" w:rsidRDefault="00AB7C10" w:rsidP="00AB7C10">
                          <w:pPr>
                            <w:pStyle w:val="Header"/>
                            <w:ind w:left="90"/>
                            <w:rPr>
                              <w:rFonts w:ascii="Verdana" w:hAnsi="Verdana" w:cs="Arial"/>
                              <w:color w:val="FFFFFF" w:themeColor="background1"/>
                              <w:sz w:val="36"/>
                              <w:szCs w:val="36"/>
                              <w:lang w:val="en-CA" w:bidi="fr-CA"/>
                            </w:rPr>
                          </w:pPr>
                          <w:r w:rsidRPr="00AB7C10">
                            <w:rPr>
                              <w:rFonts w:ascii="Verdana" w:hAnsi="Verdana" w:cs="Arial"/>
                              <w:color w:val="FFFFFF" w:themeColor="background1"/>
                              <w:sz w:val="36"/>
                              <w:szCs w:val="36"/>
                              <w:lang w:val="en-CA" w:bidi="fr-CA"/>
                            </w:rPr>
                            <w:t>Festival de 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29"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34DE0EAA" w:rsidR="00611A6A" w:rsidRPr="00872DBF" w:rsidRDefault="00AB7C10" w:rsidP="00AB7C10">
                    <w:pPr>
                      <w:pStyle w:val="Header"/>
                      <w:ind w:left="90"/>
                      <w:rPr>
                        <w:rFonts w:ascii="Verdana" w:hAnsi="Verdana" w:cs="Arial"/>
                        <w:color w:val="FFFFFF" w:themeColor="background1"/>
                        <w:sz w:val="36"/>
                        <w:szCs w:val="36"/>
                        <w:lang w:val="en-CA" w:bidi="fr-CA"/>
                      </w:rPr>
                    </w:pPr>
                    <w:r w:rsidRPr="00AB7C10">
                      <w:rPr>
                        <w:rFonts w:ascii="Verdana" w:hAnsi="Verdana" w:cs="Arial"/>
                        <w:color w:val="FFFFFF" w:themeColor="background1"/>
                        <w:sz w:val="36"/>
                        <w:szCs w:val="36"/>
                        <w:lang w:val="en-CA" w:bidi="fr-CA"/>
                      </w:rPr>
                      <w:t>Festival de rue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7520D883" w:rsidR="00D4489F" w:rsidRPr="00872DBF" w:rsidRDefault="00AB7C10" w:rsidP="00AB7C10">
                          <w:pPr>
                            <w:ind w:left="90"/>
                            <w:rPr>
                              <w:rFonts w:ascii="Verdana" w:hAnsi="Verdana" w:cs="Arial"/>
                              <w:color w:val="FFFFFF" w:themeColor="background1"/>
                              <w:sz w:val="36"/>
                              <w:szCs w:val="36"/>
                              <w:lang w:val="en-CA" w:bidi="fr-CA"/>
                            </w:rPr>
                          </w:pPr>
                          <w:r w:rsidRPr="00AB7C10">
                            <w:rPr>
                              <w:rFonts w:ascii="Verdana" w:hAnsi="Verdana" w:cs="Arial"/>
                              <w:color w:val="FFFFFF" w:themeColor="background1"/>
                              <w:sz w:val="36"/>
                              <w:szCs w:val="36"/>
                              <w:lang w:val="en-CA" w:bidi="fr-CA"/>
                            </w:rPr>
                            <w:t>Festival de 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0"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7520D883" w:rsidR="00D4489F" w:rsidRPr="00872DBF" w:rsidRDefault="00AB7C10" w:rsidP="00AB7C10">
                    <w:pPr>
                      <w:ind w:left="90"/>
                      <w:rPr>
                        <w:rFonts w:ascii="Verdana" w:hAnsi="Verdana" w:cs="Arial"/>
                        <w:color w:val="FFFFFF" w:themeColor="background1"/>
                        <w:sz w:val="36"/>
                        <w:szCs w:val="36"/>
                        <w:lang w:val="en-CA" w:bidi="fr-CA"/>
                      </w:rPr>
                    </w:pPr>
                    <w:r w:rsidRPr="00AB7C10">
                      <w:rPr>
                        <w:rFonts w:ascii="Verdana" w:hAnsi="Verdana" w:cs="Arial"/>
                        <w:color w:val="FFFFFF" w:themeColor="background1"/>
                        <w:sz w:val="36"/>
                        <w:szCs w:val="36"/>
                        <w:lang w:val="en-CA" w:bidi="fr-CA"/>
                      </w:rPr>
                      <w:t>Festival de rue</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10">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BBF581B"/>
    <w:multiLevelType w:val="hybridMultilevel"/>
    <w:tmpl w:val="C6E8591E"/>
    <w:lvl w:ilvl="0" w:tplc="255CBDFE">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1"/>
  </w:num>
  <w:num w:numId="3">
    <w:abstractNumId w:val="1"/>
  </w:num>
  <w:num w:numId="4">
    <w:abstractNumId w:val="4"/>
  </w:num>
  <w:num w:numId="5">
    <w:abstractNumId w:val="9"/>
  </w:num>
  <w:num w:numId="6">
    <w:abstractNumId w:val="5"/>
  </w:num>
  <w:num w:numId="7">
    <w:abstractNumId w:val="6"/>
  </w:num>
  <w:num w:numId="8">
    <w:abstractNumId w:val="10"/>
  </w:num>
  <w:num w:numId="9">
    <w:abstractNumId w:val="4"/>
    <w:lvlOverride w:ilvl="0">
      <w:startOverride w:val="1"/>
    </w:lvlOverride>
  </w:num>
  <w:num w:numId="10">
    <w:abstractNumId w:val="12"/>
  </w:num>
  <w:num w:numId="11">
    <w:abstractNumId w:val="0"/>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761FB"/>
    <w:rsid w:val="00097469"/>
    <w:rsid w:val="000A0069"/>
    <w:rsid w:val="000C5055"/>
    <w:rsid w:val="000E39A9"/>
    <w:rsid w:val="000E4B52"/>
    <w:rsid w:val="000F5619"/>
    <w:rsid w:val="00104B6E"/>
    <w:rsid w:val="00125F03"/>
    <w:rsid w:val="001266F9"/>
    <w:rsid w:val="0012702B"/>
    <w:rsid w:val="00156279"/>
    <w:rsid w:val="00166B2E"/>
    <w:rsid w:val="00176AA6"/>
    <w:rsid w:val="001840E2"/>
    <w:rsid w:val="001B0659"/>
    <w:rsid w:val="001E6E1B"/>
    <w:rsid w:val="001F0AE2"/>
    <w:rsid w:val="00212CB5"/>
    <w:rsid w:val="00215889"/>
    <w:rsid w:val="002407EE"/>
    <w:rsid w:val="0024470B"/>
    <w:rsid w:val="00253A1A"/>
    <w:rsid w:val="0026196F"/>
    <w:rsid w:val="00295906"/>
    <w:rsid w:val="002B1119"/>
    <w:rsid w:val="002B508A"/>
    <w:rsid w:val="002C635A"/>
    <w:rsid w:val="002D0AF9"/>
    <w:rsid w:val="002D6B46"/>
    <w:rsid w:val="003075A7"/>
    <w:rsid w:val="00354048"/>
    <w:rsid w:val="00376D39"/>
    <w:rsid w:val="00380F87"/>
    <w:rsid w:val="003C2040"/>
    <w:rsid w:val="003D1C7A"/>
    <w:rsid w:val="003E08F9"/>
    <w:rsid w:val="003F187B"/>
    <w:rsid w:val="003F690E"/>
    <w:rsid w:val="00405820"/>
    <w:rsid w:val="0042447B"/>
    <w:rsid w:val="004365A8"/>
    <w:rsid w:val="00437CE6"/>
    <w:rsid w:val="00470B02"/>
    <w:rsid w:val="00471E46"/>
    <w:rsid w:val="00472334"/>
    <w:rsid w:val="004754CE"/>
    <w:rsid w:val="004C09CE"/>
    <w:rsid w:val="004D11FF"/>
    <w:rsid w:val="005161C4"/>
    <w:rsid w:val="00564081"/>
    <w:rsid w:val="00567EC5"/>
    <w:rsid w:val="00567ED8"/>
    <w:rsid w:val="00577745"/>
    <w:rsid w:val="00585562"/>
    <w:rsid w:val="0059103B"/>
    <w:rsid w:val="005E2BF9"/>
    <w:rsid w:val="005F3389"/>
    <w:rsid w:val="00606B2D"/>
    <w:rsid w:val="00611A6A"/>
    <w:rsid w:val="0061435C"/>
    <w:rsid w:val="0062122B"/>
    <w:rsid w:val="00626BB0"/>
    <w:rsid w:val="00637C38"/>
    <w:rsid w:val="0067462B"/>
    <w:rsid w:val="006824D1"/>
    <w:rsid w:val="006918A7"/>
    <w:rsid w:val="00693081"/>
    <w:rsid w:val="006C1A7B"/>
    <w:rsid w:val="006D09DC"/>
    <w:rsid w:val="006E1A5E"/>
    <w:rsid w:val="006E5E0B"/>
    <w:rsid w:val="006F4F3B"/>
    <w:rsid w:val="0071194A"/>
    <w:rsid w:val="00744FBC"/>
    <w:rsid w:val="007B54C8"/>
    <w:rsid w:val="007C50E9"/>
    <w:rsid w:val="007F52CD"/>
    <w:rsid w:val="008124E0"/>
    <w:rsid w:val="0083159C"/>
    <w:rsid w:val="0083699C"/>
    <w:rsid w:val="00837E0E"/>
    <w:rsid w:val="008426CE"/>
    <w:rsid w:val="00850CF2"/>
    <w:rsid w:val="00865EF7"/>
    <w:rsid w:val="00872DBF"/>
    <w:rsid w:val="00873418"/>
    <w:rsid w:val="00881E91"/>
    <w:rsid w:val="00906E2E"/>
    <w:rsid w:val="00912080"/>
    <w:rsid w:val="00922C90"/>
    <w:rsid w:val="009277ED"/>
    <w:rsid w:val="009336FB"/>
    <w:rsid w:val="00940D51"/>
    <w:rsid w:val="00943A44"/>
    <w:rsid w:val="00975571"/>
    <w:rsid w:val="009D42FE"/>
    <w:rsid w:val="009D5A1C"/>
    <w:rsid w:val="009E1989"/>
    <w:rsid w:val="009F2541"/>
    <w:rsid w:val="00A06EC6"/>
    <w:rsid w:val="00A14B67"/>
    <w:rsid w:val="00A15935"/>
    <w:rsid w:val="00A37AB4"/>
    <w:rsid w:val="00A6347B"/>
    <w:rsid w:val="00A71124"/>
    <w:rsid w:val="00AA2E73"/>
    <w:rsid w:val="00AB0CA0"/>
    <w:rsid w:val="00AB3B08"/>
    <w:rsid w:val="00AB540F"/>
    <w:rsid w:val="00AB7C10"/>
    <w:rsid w:val="00AD5765"/>
    <w:rsid w:val="00AE13D7"/>
    <w:rsid w:val="00AE2DB7"/>
    <w:rsid w:val="00BA1E29"/>
    <w:rsid w:val="00BA392D"/>
    <w:rsid w:val="00BC6D3C"/>
    <w:rsid w:val="00BF21CB"/>
    <w:rsid w:val="00BF5468"/>
    <w:rsid w:val="00C35B4D"/>
    <w:rsid w:val="00C522B1"/>
    <w:rsid w:val="00C60A3E"/>
    <w:rsid w:val="00C9685E"/>
    <w:rsid w:val="00D04015"/>
    <w:rsid w:val="00D05B6A"/>
    <w:rsid w:val="00D10B25"/>
    <w:rsid w:val="00D278DA"/>
    <w:rsid w:val="00D4489F"/>
    <w:rsid w:val="00D47F77"/>
    <w:rsid w:val="00D5394E"/>
    <w:rsid w:val="00D708FD"/>
    <w:rsid w:val="00D72B9D"/>
    <w:rsid w:val="00D756EE"/>
    <w:rsid w:val="00D97C27"/>
    <w:rsid w:val="00DA07DD"/>
    <w:rsid w:val="00DB63AD"/>
    <w:rsid w:val="00DE2047"/>
    <w:rsid w:val="00E07547"/>
    <w:rsid w:val="00E20AB6"/>
    <w:rsid w:val="00E751AA"/>
    <w:rsid w:val="00E80C32"/>
    <w:rsid w:val="00E82A55"/>
    <w:rsid w:val="00E910FA"/>
    <w:rsid w:val="00EA5C76"/>
    <w:rsid w:val="00EC7DA3"/>
    <w:rsid w:val="00EE3D34"/>
    <w:rsid w:val="00F35E1D"/>
    <w:rsid w:val="00F61662"/>
    <w:rsid w:val="00F75708"/>
    <w:rsid w:val="00F81A69"/>
    <w:rsid w:val="00FA154F"/>
    <w:rsid w:val="00FC75BD"/>
    <w:rsid w:val="00FD4DDC"/>
    <w:rsid w:val="00FE251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0A0069"/>
    <w:pPr>
      <w:spacing w:after="120"/>
    </w:pPr>
    <w:rPr>
      <w:rFonts w:ascii="Verdana" w:hAnsi="Verdana" w:cs="Arial"/>
      <w:b/>
      <w:bCs/>
      <w:color w:val="595A59"/>
      <w:sz w:val="20"/>
      <w:szCs w:val="20"/>
      <w:lang w:val="en-CA"/>
    </w:rPr>
  </w:style>
  <w:style w:type="paragraph" w:customStyle="1" w:styleId="Subhead">
    <w:name w:val="Subhead"/>
    <w:basedOn w:val="Normal"/>
    <w:qFormat/>
    <w:rsid w:val="000A0069"/>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paragraph" w:styleId="CommentText">
    <w:name w:val="annotation text"/>
    <w:basedOn w:val="Normal"/>
    <w:link w:val="CommentTextChar"/>
    <w:uiPriority w:val="99"/>
    <w:semiHidden/>
    <w:unhideWhenUsed/>
    <w:rsid w:val="006F4F3B"/>
  </w:style>
  <w:style w:type="character" w:customStyle="1" w:styleId="CommentTextChar">
    <w:name w:val="Comment Text Char"/>
    <w:basedOn w:val="DefaultParagraphFont"/>
    <w:link w:val="CommentText"/>
    <w:uiPriority w:val="99"/>
    <w:semiHidden/>
    <w:rsid w:val="006F4F3B"/>
  </w:style>
  <w:style w:type="character" w:styleId="Hyperlink">
    <w:name w:val="Hyperlink"/>
    <w:basedOn w:val="DefaultParagraphFont"/>
    <w:uiPriority w:val="99"/>
    <w:unhideWhenUsed/>
    <w:rsid w:val="006F4F3B"/>
    <w:rPr>
      <w:color w:val="0563C1" w:themeColor="hyperlink"/>
      <w:u w:val="single"/>
    </w:rPr>
  </w:style>
  <w:style w:type="paragraph" w:customStyle="1" w:styleId="2ndBullet">
    <w:name w:val="2nd Bullet"/>
    <w:basedOn w:val="Bullet"/>
    <w:qFormat/>
    <w:rsid w:val="006F4F3B"/>
    <w:pPr>
      <w:numPr>
        <w:numId w:val="0"/>
      </w:numPr>
      <w:ind w:left="360" w:hanging="216"/>
    </w:pPr>
  </w:style>
  <w:style w:type="paragraph" w:customStyle="1" w:styleId="Pa5">
    <w:name w:val="Pa5"/>
    <w:basedOn w:val="Normal"/>
    <w:next w:val="Normal"/>
    <w:uiPriority w:val="99"/>
    <w:rsid w:val="00F81A69"/>
    <w:pPr>
      <w:autoSpaceDE w:val="0"/>
      <w:autoSpaceDN w:val="0"/>
      <w:adjustRightInd w:val="0"/>
      <w:spacing w:line="201" w:lineRule="atLeast"/>
    </w:pPr>
    <w:rPr>
      <w:rFonts w:ascii="Gotham Light" w:hAnsi="Gotham Light"/>
    </w:rPr>
  </w:style>
  <w:style w:type="paragraph" w:customStyle="1" w:styleId="Pa6">
    <w:name w:val="Pa6"/>
    <w:basedOn w:val="Normal"/>
    <w:next w:val="Normal"/>
    <w:uiPriority w:val="99"/>
    <w:rsid w:val="00A37AB4"/>
    <w:pPr>
      <w:autoSpaceDE w:val="0"/>
      <w:autoSpaceDN w:val="0"/>
      <w:adjustRightInd w:val="0"/>
      <w:spacing w:line="201" w:lineRule="atLeast"/>
    </w:pPr>
    <w:rPr>
      <w:rFonts w:ascii="Gotham Medium" w:hAnsi="Gotham Medium"/>
    </w:rPr>
  </w:style>
  <w:style w:type="character" w:customStyle="1" w:styleId="A12">
    <w:name w:val="A12"/>
    <w:uiPriority w:val="99"/>
    <w:rsid w:val="00A37AB4"/>
    <w:rPr>
      <w:rFonts w:cs="Gotham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8" Type="http://schemas.openxmlformats.org/officeDocument/2006/relationships/hyperlink" Target="http://www.edu.gov.on.ca/fre/curriculum/secondary/arts910curr2010Fr.pdf" TargetMode="Externa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1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851B0-150A-2540-8AC9-0D7BB6AC32AD}">
  <ds:schemaRefs>
    <ds:schemaRef ds:uri="http://schemas.openxmlformats.org/officeDocument/2006/bibliography"/>
  </ds:schemaRefs>
</ds:datastoreItem>
</file>

<file path=customXml/itemProps2.xml><?xml version="1.0" encoding="utf-8"?>
<ds:datastoreItem xmlns:ds="http://schemas.openxmlformats.org/officeDocument/2006/customXml" ds:itemID="{AAF7C1FC-B28F-4745-A7F3-D531CCFE3B83}"/>
</file>

<file path=customXml/itemProps3.xml><?xml version="1.0" encoding="utf-8"?>
<ds:datastoreItem xmlns:ds="http://schemas.openxmlformats.org/officeDocument/2006/customXml" ds:itemID="{F7AA6667-668B-460C-92DC-8E0CEA70F235}"/>
</file>

<file path=customXml/itemProps4.xml><?xml version="1.0" encoding="utf-8"?>
<ds:datastoreItem xmlns:ds="http://schemas.openxmlformats.org/officeDocument/2006/customXml" ds:itemID="{83EA24AF-84A2-498B-B988-3DF166C047FF}"/>
</file>

<file path=docProps/app.xml><?xml version="1.0" encoding="utf-8"?>
<Properties xmlns="http://schemas.openxmlformats.org/officeDocument/2006/extended-properties" xmlns:vt="http://schemas.openxmlformats.org/officeDocument/2006/docPropsVTypes">
  <Template>OTF LP.dotx</Template>
  <TotalTime>5</TotalTime>
  <Pages>7</Pages>
  <Words>1226</Words>
  <Characters>6994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6</cp:revision>
  <cp:lastPrinted>2017-09-26T01:57:00Z</cp:lastPrinted>
  <dcterms:created xsi:type="dcterms:W3CDTF">2017-10-12T02:29:00Z</dcterms:created>
  <dcterms:modified xsi:type="dcterms:W3CDTF">2017-10-13T16:39:00Z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